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C8089" w14:textId="53E07EBB" w:rsidR="00B944B2" w:rsidRPr="00C14DB6" w:rsidRDefault="00B944B2" w:rsidP="00C14DB6">
      <w:pPr>
        <w:pStyle w:val="MDPI12title"/>
      </w:pPr>
      <w:bookmarkStart w:id="0" w:name="_GoBack"/>
      <w:bookmarkEnd w:id="0"/>
      <w:r w:rsidRPr="00C14DB6">
        <w:t>Stressor-specific sex differences in amygdala-frontal cortex networks</w:t>
      </w:r>
    </w:p>
    <w:p w14:paraId="405A010F" w14:textId="3FE453F8" w:rsidR="00C22BC7" w:rsidRPr="00C14DB6" w:rsidRDefault="00B944B2" w:rsidP="00C14DB6">
      <w:pPr>
        <w:pStyle w:val="MDPI13authornames"/>
        <w:rPr>
          <w:lang w:val="de-DE"/>
        </w:rPr>
      </w:pPr>
      <w:r w:rsidRPr="00C14DB6">
        <w:rPr>
          <w:lang w:val="de-DE"/>
        </w:rPr>
        <w:t xml:space="preserve">Zoé Bürger </w:t>
      </w:r>
      <w:r w:rsidRPr="00C14DB6">
        <w:rPr>
          <w:vertAlign w:val="superscript"/>
          <w:lang w:val="de-DE"/>
        </w:rPr>
        <w:t>1,</w:t>
      </w:r>
      <w:r w:rsidRPr="00C14DB6">
        <w:rPr>
          <w:lang w:val="de-DE"/>
        </w:rPr>
        <w:t xml:space="preserve">*, Veronika I. Müller </w:t>
      </w:r>
      <w:r w:rsidRPr="00C14DB6">
        <w:rPr>
          <w:vertAlign w:val="superscript"/>
          <w:lang w:val="de-DE"/>
        </w:rPr>
        <w:t>2</w:t>
      </w:r>
      <w:r w:rsidRPr="00C14DB6">
        <w:rPr>
          <w:lang w:val="de-DE"/>
        </w:rPr>
        <w:t xml:space="preserve">, Felix Hoffstaedter </w:t>
      </w:r>
      <w:r w:rsidRPr="00C14DB6">
        <w:rPr>
          <w:vertAlign w:val="superscript"/>
          <w:lang w:val="de-DE"/>
        </w:rPr>
        <w:t>2</w:t>
      </w:r>
      <w:r w:rsidRPr="00C14DB6">
        <w:rPr>
          <w:lang w:val="de-DE"/>
        </w:rPr>
        <w:t xml:space="preserve">, Ute Habel </w:t>
      </w:r>
      <w:r w:rsidRPr="00C14DB6">
        <w:rPr>
          <w:vertAlign w:val="superscript"/>
          <w:lang w:val="de-DE"/>
        </w:rPr>
        <w:t>3,4</w:t>
      </w:r>
      <w:r w:rsidRPr="00C14DB6">
        <w:rPr>
          <w:lang w:val="de-DE"/>
        </w:rPr>
        <w:t xml:space="preserve">, Ruben C. Gur </w:t>
      </w:r>
      <w:r w:rsidRPr="00C14DB6">
        <w:rPr>
          <w:vertAlign w:val="superscript"/>
          <w:lang w:val="de-DE"/>
        </w:rPr>
        <w:t>5</w:t>
      </w:r>
      <w:r w:rsidRPr="00C14DB6">
        <w:rPr>
          <w:lang w:val="de-DE"/>
        </w:rPr>
        <w:t xml:space="preserve">, Christian Windischberger </w:t>
      </w:r>
      <w:r w:rsidRPr="00C14DB6">
        <w:rPr>
          <w:vertAlign w:val="superscript"/>
          <w:lang w:val="de-DE"/>
        </w:rPr>
        <w:t>6,7</w:t>
      </w:r>
      <w:r w:rsidRPr="00C14DB6">
        <w:rPr>
          <w:lang w:val="de-DE"/>
        </w:rPr>
        <w:t xml:space="preserve">, Ewald Moser </w:t>
      </w:r>
      <w:r w:rsidRPr="00C14DB6">
        <w:rPr>
          <w:vertAlign w:val="superscript"/>
          <w:lang w:val="de-DE"/>
        </w:rPr>
        <w:t>6,7</w:t>
      </w:r>
      <w:r w:rsidRPr="00C14DB6">
        <w:rPr>
          <w:lang w:val="de-DE"/>
        </w:rPr>
        <w:t xml:space="preserve">, Birgit Derntl </w:t>
      </w:r>
      <w:r w:rsidRPr="00C14DB6">
        <w:rPr>
          <w:vertAlign w:val="superscript"/>
          <w:lang w:val="de-DE"/>
        </w:rPr>
        <w:t>1,8</w:t>
      </w:r>
      <w:r w:rsidRPr="00C14DB6">
        <w:rPr>
          <w:lang w:val="de-DE"/>
        </w:rPr>
        <w:t xml:space="preserve"> and Lydia Kogler </w:t>
      </w:r>
      <w:r w:rsidRPr="00C14DB6">
        <w:rPr>
          <w:vertAlign w:val="superscript"/>
          <w:lang w:val="de-DE"/>
        </w:rPr>
        <w:t>1,</w:t>
      </w:r>
      <w:r w:rsidRPr="00C14DB6">
        <w:rPr>
          <w:lang w:val="de-DE"/>
        </w:rPr>
        <w:t>*</w:t>
      </w:r>
    </w:p>
    <w:p w14:paraId="352D4DB1" w14:textId="77777777" w:rsidR="00B944B2" w:rsidRPr="00C14DB6" w:rsidRDefault="00B944B2" w:rsidP="00C14DB6">
      <w:pPr>
        <w:pStyle w:val="MDPI16affiliation"/>
        <w:ind w:left="0"/>
        <w:jc w:val="both"/>
      </w:pPr>
      <w:r w:rsidRPr="00C14DB6">
        <w:rPr>
          <w:vertAlign w:val="superscript"/>
        </w:rPr>
        <w:t>1</w:t>
      </w:r>
      <w:r w:rsidRPr="00C14DB6">
        <w:tab/>
        <w:t>Department of Psychiatry and Psychotherapy, Tübingen Centre for Mental Health (TüCMH), Medical Faculty, University of Tübingen, Germany</w:t>
      </w:r>
    </w:p>
    <w:p w14:paraId="260A5878" w14:textId="77777777" w:rsidR="00B944B2" w:rsidRPr="00C14DB6" w:rsidRDefault="00B944B2" w:rsidP="00C14DB6">
      <w:pPr>
        <w:pStyle w:val="MDPI16affiliation"/>
        <w:ind w:left="0"/>
        <w:jc w:val="both"/>
      </w:pPr>
      <w:r w:rsidRPr="00C14DB6">
        <w:rPr>
          <w:vertAlign w:val="superscript"/>
        </w:rPr>
        <w:t>2</w:t>
      </w:r>
      <w:r w:rsidRPr="00C14DB6">
        <w:tab/>
        <w:t>Institute of Neuroscience und Medicine, INM-7, Research Centre Jülich, Jülich, Germany</w:t>
      </w:r>
    </w:p>
    <w:p w14:paraId="75F0ACE9" w14:textId="77777777" w:rsidR="00B944B2" w:rsidRPr="00C14DB6" w:rsidRDefault="00B944B2" w:rsidP="00C14DB6">
      <w:pPr>
        <w:pStyle w:val="MDPI16affiliation"/>
        <w:ind w:left="0"/>
        <w:jc w:val="both"/>
        <w:rPr>
          <w:rFonts w:cstheme="minorBidi"/>
          <w:cs/>
          <w:lang w:bidi="th-TH"/>
        </w:rPr>
      </w:pPr>
      <w:r w:rsidRPr="00C14DB6">
        <w:rPr>
          <w:vertAlign w:val="superscript"/>
        </w:rPr>
        <w:t>3</w:t>
      </w:r>
      <w:r w:rsidRPr="00C14DB6">
        <w:tab/>
        <w:t>Department of Psychiatry, Psychotherapy and Psychosomatics, RWTH Aachen University, Pauwelsstrasse 30, 52074, Aachen, Germany</w:t>
      </w:r>
    </w:p>
    <w:p w14:paraId="2D266520" w14:textId="77777777" w:rsidR="00B944B2" w:rsidRPr="00C14DB6" w:rsidRDefault="00B944B2" w:rsidP="00C14DB6">
      <w:pPr>
        <w:pStyle w:val="MDPI16affiliation"/>
        <w:ind w:left="0"/>
        <w:jc w:val="both"/>
      </w:pPr>
      <w:r w:rsidRPr="00C14DB6">
        <w:rPr>
          <w:vertAlign w:val="superscript"/>
        </w:rPr>
        <w:t>4</w:t>
      </w:r>
      <w:r w:rsidRPr="00C14DB6">
        <w:tab/>
        <w:t>JARA BRAIN Institute I, Translational Brain Medicine, Jülich/Aachen, Germany</w:t>
      </w:r>
    </w:p>
    <w:p w14:paraId="3502477B" w14:textId="77777777" w:rsidR="00B944B2" w:rsidRPr="00C14DB6" w:rsidRDefault="00B944B2" w:rsidP="00C14DB6">
      <w:pPr>
        <w:pStyle w:val="MDPI16affiliation"/>
        <w:ind w:left="0"/>
        <w:jc w:val="both"/>
      </w:pPr>
      <w:r w:rsidRPr="00C14DB6">
        <w:rPr>
          <w:vertAlign w:val="superscript"/>
        </w:rPr>
        <w:t>5</w:t>
      </w:r>
      <w:r w:rsidRPr="00C14DB6">
        <w:tab/>
        <w:t>Neuropsychiatry Division, Department of Psychiatry, University of Pennsylvania, 19104-4283, Philadelphia, PA, USA</w:t>
      </w:r>
    </w:p>
    <w:p w14:paraId="337CFEC5" w14:textId="77777777" w:rsidR="00B944B2" w:rsidRPr="00C14DB6" w:rsidRDefault="00B944B2" w:rsidP="00C14DB6">
      <w:pPr>
        <w:pStyle w:val="MDPI16affiliation"/>
        <w:ind w:left="0"/>
        <w:jc w:val="both"/>
      </w:pPr>
      <w:r w:rsidRPr="00C14DB6">
        <w:rPr>
          <w:vertAlign w:val="superscript"/>
        </w:rPr>
        <w:t>6</w:t>
      </w:r>
      <w:r w:rsidRPr="00C14DB6">
        <w:tab/>
        <w:t>MR Center of Excellence, Medical University of Vienna, Vienna, Austria</w:t>
      </w:r>
    </w:p>
    <w:p w14:paraId="5D46912C" w14:textId="77777777" w:rsidR="00B944B2" w:rsidRPr="00C14DB6" w:rsidRDefault="00B944B2" w:rsidP="00C14DB6">
      <w:pPr>
        <w:pStyle w:val="MDPI16affiliation"/>
        <w:ind w:left="0"/>
        <w:jc w:val="both"/>
      </w:pPr>
      <w:r w:rsidRPr="00C14DB6">
        <w:rPr>
          <w:vertAlign w:val="superscript"/>
        </w:rPr>
        <w:t>7</w:t>
      </w:r>
      <w:r w:rsidRPr="00C14DB6">
        <w:tab/>
        <w:t>Centre for Medical Physics and Biomedical Engineering, Medical University, 1090, Vienna, Austria</w:t>
      </w:r>
    </w:p>
    <w:p w14:paraId="773C3B5E" w14:textId="77777777" w:rsidR="00B944B2" w:rsidRPr="00C14DB6" w:rsidRDefault="00B944B2" w:rsidP="00C14DB6">
      <w:pPr>
        <w:pStyle w:val="MDPI16affiliation"/>
        <w:ind w:left="0"/>
        <w:jc w:val="both"/>
      </w:pPr>
      <w:r w:rsidRPr="00C14DB6">
        <w:rPr>
          <w:vertAlign w:val="superscript"/>
        </w:rPr>
        <w:t>8</w:t>
      </w:r>
      <w:r w:rsidRPr="00C14DB6">
        <w:tab/>
        <w:t>LEAD Graduate School and Research Network, University of Tübingen, Germany</w:t>
      </w:r>
    </w:p>
    <w:p w14:paraId="14031FF6" w14:textId="6B7E8F22" w:rsidR="00B944B2" w:rsidRPr="00C14DB6" w:rsidRDefault="004F33C9" w:rsidP="00C14DB6">
      <w:pPr>
        <w:pStyle w:val="MDPI16affiliation"/>
        <w:ind w:left="0"/>
        <w:jc w:val="both"/>
      </w:pPr>
      <w:r w:rsidRPr="00C14DB6">
        <w:rPr>
          <w:b/>
        </w:rPr>
        <w:t>*</w:t>
      </w:r>
      <w:r w:rsidRPr="00C14DB6">
        <w:tab/>
        <w:t xml:space="preserve">Correspondence: </w:t>
      </w:r>
      <w:r w:rsidR="00B944B2" w:rsidRPr="00C14DB6">
        <w:t>zoe.buerger@med.uni-tuebingen.de (ZB), lydia.kogler@med.uni-tuebingen.de (LK); Tel.: +49 (0)707129-85736</w:t>
      </w:r>
    </w:p>
    <w:p w14:paraId="00574F71" w14:textId="49E5F758" w:rsidR="00B944B2" w:rsidRPr="00C14DB6" w:rsidRDefault="00B944B2" w:rsidP="00C14DB6">
      <w:pPr>
        <w:pStyle w:val="MDPI17abstract"/>
        <w:ind w:left="0"/>
      </w:pPr>
      <w:r w:rsidRPr="00C14DB6">
        <w:rPr>
          <w:b/>
        </w:rPr>
        <w:t xml:space="preserve">Abstract: </w:t>
      </w:r>
      <w:r w:rsidRPr="00C14DB6">
        <w:t>Females and males differ in stress reactivity, coping and in the prevalence rates of stress-related disorders. According to a neurocognitive framework of stress coping, functional connectivity between the amygdala and frontal regions (including dorsolateral-prefrontal cortex (dlPFC), ventral anterior cingulate cortex (vACC) and medial-prefrontal cortex (mPFC)) plays a key role in how people deal with stress. In the current study we investigated the effect of sex and stressor type in a within-subject counterbalanced design on resting-state functional connectivity (rsFC) of the amygdala with these frontal regions in 77 healthy participants (40 females).</w:t>
      </w:r>
      <w:r w:rsidR="00B866BA" w:rsidRPr="00C14DB6">
        <w:t xml:space="preserve"> </w:t>
      </w:r>
      <w:r w:rsidRPr="00C14DB6">
        <w:rPr>
          <w:bCs/>
          <w:szCs w:val="18"/>
        </w:rPr>
        <w:t>Both stressor types led to changes in subjective ratings with decreasing positive affect and increasing negative affect and anger. Females showed a higher amygdala–vACC and amygdala-mPFC rsFC for social exclusion than for achievement stress, and than males: while higher amygdala-vACC rsFC points to activation of emotion processing and coping, higher amygdala–mPFC rsFC indicates feelings of reward and social gain, pointing to positive effects of social affiliation. Thus, for females, feeling socially affiliated might be more fundamental than for males. Our data indicate interactions of sex- and stressor in amygdala-frontal coupling which translationally contribute to a better understanding of sex differences in prevalence rates and stress coping.</w:t>
      </w:r>
    </w:p>
    <w:p w14:paraId="308F55E7" w14:textId="5E6D8195" w:rsidR="00B944B2" w:rsidRPr="00C14DB6" w:rsidRDefault="004F33C9" w:rsidP="00C14DB6">
      <w:pPr>
        <w:pStyle w:val="MDPI18keywords"/>
        <w:ind w:left="0"/>
      </w:pPr>
      <w:r w:rsidRPr="00C14DB6">
        <w:rPr>
          <w:b/>
        </w:rPr>
        <w:t>Keywords:</w:t>
      </w:r>
      <w:r w:rsidR="00B944B2" w:rsidRPr="00C14DB6">
        <w:rPr>
          <w:b/>
        </w:rPr>
        <w:t xml:space="preserve"> </w:t>
      </w:r>
      <w:r w:rsidR="00B944B2" w:rsidRPr="00C14DB6">
        <w:t>resting-state functional connectivity; sex differences; stress</w:t>
      </w:r>
      <w:r w:rsidRPr="00C14DB6">
        <w:t xml:space="preserve">; </w:t>
      </w:r>
      <w:r w:rsidR="00B944B2" w:rsidRPr="00C14DB6">
        <w:t>social exclusion; achievement stress; Cyberball; MIST</w:t>
      </w:r>
    </w:p>
    <w:p w14:paraId="05DF4D13" w14:textId="77777777" w:rsidR="00B944B2" w:rsidRPr="00C14DB6" w:rsidRDefault="00B944B2" w:rsidP="00D20538">
      <w:pPr>
        <w:pStyle w:val="MDPI19line"/>
        <w:pBdr>
          <w:bottom w:val="single" w:sz="4" w:space="1" w:color="000000"/>
        </w:pBdr>
        <w:ind w:left="0"/>
        <w:jc w:val="center"/>
      </w:pPr>
    </w:p>
    <w:p w14:paraId="629C7EB5" w14:textId="74CECAD2" w:rsidR="00B944B2" w:rsidRPr="00C14DB6" w:rsidRDefault="004F33C9" w:rsidP="00C14DB6">
      <w:pPr>
        <w:pStyle w:val="MDPI21heading1"/>
        <w:ind w:left="0"/>
      </w:pPr>
      <w:r w:rsidRPr="00C14DB6">
        <w:t xml:space="preserve">1. </w:t>
      </w:r>
      <w:r w:rsidR="00B944B2" w:rsidRPr="00C14DB6">
        <w:t>Introduction</w:t>
      </w:r>
    </w:p>
    <w:p w14:paraId="28B5D76C" w14:textId="77777777" w:rsidR="00B944B2" w:rsidRPr="00C14DB6" w:rsidRDefault="00B944B2" w:rsidP="00C14DB6">
      <w:pPr>
        <w:pStyle w:val="MDPI31text"/>
        <w:ind w:left="0"/>
        <w:rPr>
          <w:b/>
        </w:rPr>
      </w:pPr>
      <w:r w:rsidRPr="00C14DB6">
        <w:t xml:space="preserve">In our daily lives we are confronted with psychosocial and physiological stressors. Both can elicit a typical physiological stress response which is activating the hypothalamo-pituitary-adrenal (HPA)-axis and thus releases cortisol, which happens especially in situations that are uncontrollable and threatening to the social self </w:t>
      </w:r>
      <w:r w:rsidRPr="00C14DB6">
        <w:rPr>
          <w:b/>
        </w:rPr>
        <w:fldChar w:fldCharType="begin"/>
      </w:r>
      <w:r w:rsidRPr="00C14DB6">
        <w:instrText xml:space="preserve"> ADDIN ZOTERO_ITEM CSL_CITATION {"citationID":"crOEyALz","properties":{"formattedCitation":"[1]","plainCitation":"[1]","noteIndex":0},"citationItems":[{"id":13,"uris":["http://zotero.org/users/10615573/items/P5QRBMXN"],"itemData":{"id":13,"type":"article-journal","abstract":"This meta-analysis reviews 208 laboratory studies of acute psychological Stressors and tests a theoretical model delineating conditions capable of eliciting cortisol responses. Psychological Stressors increased cortisol levels; however, effects varied widely across tasks. Consistent with the theoretical model, motivated performance tasks elicited cortisol responses if they were uncontrollable or characterized by social-evaluative threat (task performance could be negatively judged by others), when methodological factors and other Stressor characteristics were controlled for. Tasks containing both uncontrollable and social-evaluative elements were associated with the largest cortisol and adrenocorticotropin hormone changes and the longest times to recovery. These findings are consistent with the animal literature on the physiological effects of uncontrollable social threat and contradict the belief that cortisol is responsive to all types of Stressors.","container-title":"Psychological Bulletin","DOI":"10.1037/0033-2909.130.3.355","ISSN":"00332909","issue":"3","note":"PMID: 15122924","page":"355-391","title":"Acute stressors and cortisol responses: A theoretical integration and synthesis of laboratory research","volume":"130","author":[{"family":"Dickerson","given":"Sally S."},{"family":"Kemeny","given":"Margaret E."}],"issued":{"date-parts":[["2004",5]]}}}],"schema":"https://github.com/citation-style-language/schema/raw/master/csl-citation.json"} </w:instrText>
      </w:r>
      <w:r w:rsidRPr="00C14DB6">
        <w:rPr>
          <w:b/>
        </w:rPr>
        <w:fldChar w:fldCharType="separate"/>
      </w:r>
      <w:r w:rsidRPr="00C14DB6">
        <w:t>[1]</w:t>
      </w:r>
      <w:r w:rsidRPr="00C14DB6">
        <w:rPr>
          <w:b/>
        </w:rPr>
        <w:fldChar w:fldCharType="end"/>
      </w:r>
      <w:r w:rsidRPr="00C14DB6">
        <w:t xml:space="preserve">. In an MRI environment, psychosocial stress is often induced using the Cyberball task </w:t>
      </w:r>
      <w:r w:rsidRPr="00C14DB6">
        <w:rPr>
          <w:b/>
        </w:rPr>
        <w:fldChar w:fldCharType="begin"/>
      </w:r>
      <w:r w:rsidRPr="00C14DB6">
        <w:instrText xml:space="preserve"> ADDIN ZOTERO_ITEM CSL_CITATION {"citationID":"nZMs5f2H","properties":{"formattedCitation":"[2]","plainCitation":"[2]","noteIndex":0},"citationItems":[{"id":84,"uris":["http://zotero.org/users/10615573/items/UAJAZAQ7"],"itemData":{"id":84,"type":"article-journal","abstract":"Since the mid-1990s, research on interpersonal acceptance and exclusion has proliferated, and several paradigms have evolved that vary in their efficiency, context specificity, and strength. This article describes one such paradigm, Cyberball, which is an ostensibly online ball-tossing game that participants believe they are playing with two or three others. In fact, the \"others\" are controlled by the programmer. The course and speed of the game, the frequency of inclusion, player information, and iconic representation are all options the researcher can regulate. The game was designed to manipulate independent variables (e.g., ostracism) but can also be used as a dependent measure of prejudice and discrimination. The game works on both PC and Macintosh (OS X) platforms and is freely available. Copyright 2006 Psychonomic Society, Inc.","container-title":"Behavior research methods","DOI":"10.3758/BF03192765","ISSN":"1554-351X","issue":"1","note":"PMID: 16817529\npublisher: Behav Res Methods","page":"174-180","title":"Cyberball: a program for use in research on interpersonal ostracism and acceptance","volume":"38","author":[{"family":"Williams","given":"Kipling D."},{"family":"Jarvis","given":"Blair"}],"issued":{"date-parts":[["2006"]]}}}],"schema":"https://github.com/citation-style-language/schema/raw/master/csl-citation.json"} </w:instrText>
      </w:r>
      <w:r w:rsidRPr="00C14DB6">
        <w:rPr>
          <w:b/>
        </w:rPr>
        <w:fldChar w:fldCharType="separate"/>
      </w:r>
      <w:r w:rsidRPr="00C14DB6">
        <w:t>[2]</w:t>
      </w:r>
      <w:r w:rsidRPr="00C14DB6">
        <w:rPr>
          <w:b/>
        </w:rPr>
        <w:fldChar w:fldCharType="end"/>
      </w:r>
      <w:r w:rsidRPr="00C14DB6">
        <w:t xml:space="preserve"> or the Montreal Imaging Stress task (MIST, </w:t>
      </w:r>
      <w:r w:rsidRPr="00C14DB6">
        <w:rPr>
          <w:b/>
        </w:rPr>
        <w:fldChar w:fldCharType="begin"/>
      </w:r>
      <w:r w:rsidRPr="00C14DB6">
        <w:instrText xml:space="preserve"> ADDIN ZOTERO_ITEM CSL_CITATION {"citationID":"kcCo6gB2","properties":{"formattedCitation":"[3]","plainCitation":"[3]","noteIndex":0},"citationItems":[{"id":510,"uris":["http://zotero.org/groups/4860232/items/RCT922VZ"],"itemData":{"id":510,"type":"article-journal","abstract":"Objective: We developed a protocol for inducing moderate psychologic stress in a functional imaging setting and evaluated the effects of stress on physiology and brain activation. Methods: The Montreal Imaging Stress Task (MIST), derived from the Trier Mental Challenge Test, consists of a series of computerized mental arithmetic challenges, along with social evaluative threat components that are built into the program or presented by the investigator. To allow the effects of stress and mental arithmetic to be investigated separately, the MIST has 3 test conditions (rest, control and experimental), which can be presented in either a block or an event-related design, for use with functional magnetic resonance imaging (fMRI) or positron emission tomography (PET). In the rest condition, subjects look at a static computer screen on which no tasks are shown. In the control condition, a series of mental arithmetic tasks are displayed on the computer screen, and subjects submit their answers by means of a response interface. In the experimental condition, the difficulty and time limit of the tasks are manipulated to be just beyond the individual's mental capacity. In addition, in this condition the presentation of the mental arithmetic tasks is supplemented by a display of information on individual and average performance, as well as expected performance. Upon completion of each task, the program presents a performance evaluation to further increase the social evaluative threat of the situation. Results: In 2 independent studies using PET and a third independent study using fMRI, with a total of 42 subjects, levels of salivary free cortisol for the whole group were significantly increased under the experimental condition, relative to the control and rest conditions. Performing mental arithmetic was linked to activation of motor and visual association cortices, as well as brain structures involved in the performance of these tasks (e.g., the angular gyrus). Conclusions: We propose the MIST as a tool for investigating the effects of perceiving and processing psychosocial stress in functional imaging studies. © 2005 CMA Media Inc.","container-title":"Journal of psychiatry &amp; neuroscience : JPN","ISSN":"1180-4882","issue":"5","note":"PMID: 16151536\npublisher: J Psychiatry Neurosci","page":"319-325","title":"The Montreal Imaging Stress Task: using functional imaging to investigate the effects of perceiving and processing psychosocial stress in the human brain","volume":"30","author":[{"family":"Dedovic","given":"Katarina"},{"family":"Renwick","given":"Robert"},{"family":"Mahani","given":"Najmeh Khalili"},{"family":"Engert","given":"Veronika"},{"family":"Lupien","given":"Sonia J."},{"family":"Pruessner","given":"Jens C."}],"issued":{"date-parts":[["2005",9]]}}}],"schema":"https://github.com/citation-style-language/schema/raw/master/csl-citation.json"} </w:instrText>
      </w:r>
      <w:r w:rsidRPr="00C14DB6">
        <w:rPr>
          <w:b/>
        </w:rPr>
        <w:fldChar w:fldCharType="separate"/>
      </w:r>
      <w:r w:rsidRPr="00C14DB6">
        <w:t>[3]</w:t>
      </w:r>
      <w:r w:rsidRPr="00C14DB6">
        <w:rPr>
          <w:b/>
        </w:rPr>
        <w:fldChar w:fldCharType="end"/>
      </w:r>
      <w:r w:rsidRPr="00C14DB6">
        <w:t xml:space="preserve">). In the Cyberball task, participants are actively excluded from a ball tossing game by peers, creating a threat to the basic social need of being included </w:t>
      </w:r>
      <w:r w:rsidRPr="00C14DB6">
        <w:rPr>
          <w:b/>
        </w:rPr>
        <w:fldChar w:fldCharType="begin"/>
      </w:r>
      <w:r w:rsidRPr="00C14DB6">
        <w:instrText xml:space="preserve"> ADDIN ZOTERO_ITEM CSL_CITATION {"citationID":"XZvcjA9X","properties":{"formattedCitation":"[4]","plainCitation":"[4]","noteIndex":0},"citationItems":[{"id":413,"uris":["http://zotero.org/groups/4860232/items/97D59LQD"],"itemData":{"id":413,"type":"article-journal","abstract":"Stress affects the brain at a network level: the salience network is supposedly upregulated, while at the same time the executive control network is downregulated. While theoretically described, the effects in the aftermath of stress have thus far not been tested empirically. Here, we compared for the first time resting-state functional connectivity in a large sample of healthy volunteers before and after a mild social stressor. Following the theoretical prediction, we focused on connectivity of the salience network (SN), the executive control network (ECN) and the default mode network (DMN). The DMN exhibited increased resting-state functional connectivity following the cyberball task to the key nodes of the SN, namely the dorsal anterior cingulate cortex (dACC) and the anterior insula, as well as sensorimotor regions and higher-order visual areas. We conclude that this increased connectivity of the DMN with key nodes of the SN and regions responsible for preparatory motor activity and visual motion processing indicates a shift towards an 'alerted default mode' in the aftermath of stress. This brain response may be triggered or aggravated by (social) stress induced by the cyberball task, enabling individuals to better reorient attention, detect salient external stimuli, and deal with the emotional and affective consequences of stress.","container-title":"Scientific reports","DOI":"10.1038/SREP40180","ISSN":"2045-2322","note":"PMID: 28054651\npublisher: Sci Rep","title":"Alerted default mode: functional connectivity changes in the aftermath of social stress","URL":"https://pubmed.ncbi.nlm.nih.gov/28054651/","volume":"7","author":[{"family":"Clemens","given":"Benjamin"},{"family":"Wagels","given":"Lisa"},{"family":"Bauchmüller","given":"Magdalena"},{"family":"Bergs","given":"Rene"},{"family":"Habel","given":"Ute"},{"family":"Kohn","given":"Nils"}],"accessed":{"date-parts":[["2021",11,28]]},"issued":{"date-parts":[["2017",1,5]]}}}],"schema":"https://github.com/citation-style-language/schema/raw/master/csl-citation.json"} </w:instrText>
      </w:r>
      <w:r w:rsidRPr="00C14DB6">
        <w:rPr>
          <w:b/>
        </w:rPr>
        <w:fldChar w:fldCharType="separate"/>
      </w:r>
      <w:r w:rsidRPr="00C14DB6">
        <w:t>[4]</w:t>
      </w:r>
      <w:r w:rsidRPr="00C14DB6">
        <w:rPr>
          <w:b/>
        </w:rPr>
        <w:fldChar w:fldCharType="end"/>
      </w:r>
      <w:r w:rsidRPr="00C14DB6">
        <w:t xml:space="preserve"> and represents interpersonal, social stress. Contrarily, the MIST elicits achievement stress by using mental arithmetics including also social evaluation. While the single correlates of neural stress research have been investigated frequently (for a meta-analysis see e.g., </w:t>
      </w:r>
      <w:r w:rsidRPr="00C14DB6">
        <w:rPr>
          <w:b/>
        </w:rPr>
        <w:fldChar w:fldCharType="begin"/>
      </w:r>
      <w:r w:rsidRPr="00C14DB6">
        <w:instrText xml:space="preserve"> ADDIN ZOTERO_ITEM CSL_CITATION {"citationID":"pR1VUD5k","properties":{"formattedCitation":"[5]","plainCitation":"[5]","noteIndex":0},"citationItems":[{"id":513,"uris":["http://zotero.org/groups/4860232/items/9QHAFXZJ"],"itemData":{"id":513,"type":"article-journal","abstract":"Stress is present in everyday life in various forms and situations. Two stressors frequently investigated are physiological and psychosocial stress. Besides similar subjective and hormonal responses, it has been suggested that they also share common neural substrates. The current study used activation-likelihood-estimation meta-analysis to test this assumption by integrating results of previous neuroimaging studies on stress processing. Reported results are cluster-level FWE corrected. The inferior frontal gyrus (IFG) and the anterior insula (AI) were the only regions that demonstrated overlapping activation for both stressors. Analysis of physiological stress showed consistent activation of cognitive and affective components of pain processing such as the insula, striatum, or the middle cingulate cortex. Contrarily, analysis across psychosocial stress revealed consistent activation of the right superior temporal gyrus and deactivation of the striatum. Notably, parts of the striatum appeared to be functionally specified: the dorsal striatum was activated in physiological stress, whereas the ventral striatum was deactivated in psychosocial stress. Additional functional connectivity and decoding analyses further characterized this functional heterogeneity and revealed higher associations of the dorsal striatum with motor regions and of the ventral striatum with reward processing. Based on our meta-analytic approach, activation of the IFG and the AI seems to indicate a global neural stress reaction. While physiological stress activates a motoric fight-or-flight reaction, during psychosocial stress attention is shifted towards emotion regulation and goal-directed behavior, and reward processing is reduced. Our results show the significance of differentiating physiological and psychosocial stress in neural engagement. Furthermore, the assessment of deactivations in addition to activations in stress research is highly recommended.","container-title":"NeuroImage","DOI":"10.1016/J.NEUROIMAGE.2015.06.059","ISSN":"1095-9572","note":"PMID: 26123376\npublisher: Neuroimage","page":"235-251","title":"Psychosocial versus physiological stress - Meta-analyses on deactivations and activations of the neural correlates of stress reactions","volume":"119","author":[{"family":"Kogler","given":"Lydia"},{"family":"Müller","given":"Veronika I."},{"family":"Chang","given":"Amy"},{"family":"Eickhoff","given":"Simon B."},{"family":"Fox","given":"Peter T."},{"family":"Gur","given":"Ruben C."},{"family":"Derntl","given":"Birgit"}],"issued":{"date-parts":[["2015",10,1]]}}}],"schema":"https://github.com/citation-style-language/schema/raw/master/csl-citation.json"} </w:instrText>
      </w:r>
      <w:r w:rsidRPr="00C14DB6">
        <w:rPr>
          <w:b/>
        </w:rPr>
        <w:fldChar w:fldCharType="separate"/>
      </w:r>
      <w:r w:rsidRPr="00C14DB6">
        <w:t>[5]</w:t>
      </w:r>
      <w:r w:rsidRPr="00C14DB6">
        <w:rPr>
          <w:b/>
        </w:rPr>
        <w:fldChar w:fldCharType="end"/>
      </w:r>
      <w:r w:rsidRPr="00C14DB6">
        <w:t>), models on connectivity in neural stress research also exist but have gained less attention.</w:t>
      </w:r>
    </w:p>
    <w:p w14:paraId="631612C3" w14:textId="77777777" w:rsidR="00B944B2" w:rsidRPr="00C14DB6" w:rsidRDefault="00B944B2" w:rsidP="00C14DB6">
      <w:pPr>
        <w:pStyle w:val="MDPI31text"/>
        <w:ind w:left="0"/>
        <w:rPr>
          <w:b/>
        </w:rPr>
      </w:pPr>
      <w:r w:rsidRPr="00C14DB6">
        <w:t xml:space="preserve">De Raedt and Hooley (2016) </w:t>
      </w:r>
      <w:r w:rsidRPr="00C14DB6">
        <w:rPr>
          <w:b/>
        </w:rPr>
        <w:fldChar w:fldCharType="begin"/>
      </w:r>
      <w:r w:rsidRPr="00C14DB6">
        <w:instrText xml:space="preserve"> ADDIN ZOTERO_ITEM CSL_CITATION {"citationID":"abcSK95i","properties":{"formattedCitation":"[6]","plainCitation":"[6]","noteIndex":0},"citationItems":[{"id":522,"uris":["http://zotero.org/groups/4860232/items/SD9SHXA4"],"itemData":{"id":522,"type":"article-journal","abstract":"When confronted with stressful or emotionally arousing situations, regulatory abilities should allow us to adaptively cope. However, depressed individuals often have a low sense of perceived control and are characterized by a negative expectation bias regarding their ability to deal with future stressful events. Low expectancy concerning the ability to deal with future stressful events may result in less initiation of proactive control, a crucial mechanism of cognitive control reflecting sustained and anticipatory maintenance of goal-relevant information in the dorsolateral prefrontal cortex to optimize cognitive performance. In this theoretical review we integrate a diverse body of literature. We argue that the expectancy of an individual's regulatory abilities prior to the presentation of an arousing event or stressful task will be related to anticipation and proactive up- or downregulation of specific neurocircuits before the actual encounter with the stressful event occurs, in a manner that can be either adaptive or maladaptive. Moreover, we discuss the important role of self-esteem as well as the ability to accept the situation when coping is not possible. Our approach has implications for a broad range of disorders and conditions in which stress regulation plays a role, and can be used to guide the use of recently developed clinical interventions, as well as to fine-tune interventions to facilitate proactive control.","container-title":"Clinical Psychology Review","DOI":"10.1016/J.CPR.2016.03.005","ISSN":"0272-7358","note":"PMID: 27064551\npublisher: Pergamon","page":"45-55","title":"The role of expectancy and proactive control in stress regulation: A neurocognitive framework for regulation expectation","volume":"45","author":[{"family":"De Raedt","given":"Rudi"},{"family":"Hooley","given":"Jill M."}],"issued":{"date-parts":[["2016",4,1]]}}}],"schema":"https://github.com/citation-style-language/schema/raw/master/csl-citation.json"} </w:instrText>
      </w:r>
      <w:r w:rsidRPr="00C14DB6">
        <w:rPr>
          <w:b/>
        </w:rPr>
        <w:fldChar w:fldCharType="separate"/>
      </w:r>
      <w:r w:rsidRPr="00C14DB6">
        <w:t>[6]</w:t>
      </w:r>
      <w:r w:rsidRPr="00C14DB6">
        <w:rPr>
          <w:b/>
        </w:rPr>
        <w:fldChar w:fldCharType="end"/>
      </w:r>
      <w:r w:rsidRPr="00C14DB6">
        <w:t xml:space="preserve"> put forward a neurocognitive framework for stress coping including three main regions: (1) the amygdala, (2) the dorsolateral prefrontal cortex (dlPFC), and (3) the ventromedial-frontal region, including the ventral anterior cingulate cortex (vACC) and the (ventro)medial prefrontal cortex ((v)mPFC). </w:t>
      </w:r>
      <w:bookmarkStart w:id="1" w:name="_Hlk121738362"/>
      <w:r w:rsidRPr="00C14DB6">
        <w:t xml:space="preserve">The framework suggests that the amygdala, a region central in emotion processing </w:t>
      </w:r>
      <w:r w:rsidRPr="00C14DB6">
        <w:rPr>
          <w:b/>
        </w:rPr>
        <w:fldChar w:fldCharType="begin"/>
      </w:r>
      <w:r w:rsidRPr="00C14DB6">
        <w:instrText xml:space="preserve"> ADDIN ZOTERO_ITEM CSL_CITATION {"citationID":"c6Ya7oGO","properties":{"formattedCitation":"[7]","plainCitation":"[7]","noteIndex":0},"citationItems":[{"id":472,"uris":["http://zotero.org/groups/4860232/items/U328P8R4"],"itemData":{"id":472,"type":"article-journal","abstract":"The amygdala has long been known to play a key role in supporting memory for emotionally arousing experiences. For example, classical fear conditioning depends on neural plasticity within this anterior medial temporal lobe region. Beneficial effects of emotional arousal on memory, however, are not restricted to simple associative learning. Our recollection of emotional experiences often includes rich representations of, e.g., spatiotemporal context, visceral states, and stimulus-response associations. Critically, such memory features are known to bear heavily on regions elsewhere in the brain. These observations led to the modulation account of amygdala function, which postulates that amygdala activation enhances memory consolidation by facilitating neural plasticity and information storage processes in its target regions. Rodent work in past decades has identified the most important brain regions and neurochemical processes involved in these modulatory actions, and neuropsychological and neuroimaging work in humans has produced a large body of convergent data. Importantly, recent methodological developments make it increasingly realistic to monitor neural interactions underlying such modulatory effects as they unfold. For instance, functional connectivity network modeling in humans has demonstrated how information exchanges between the amygdala and specific target regions occur within the context of large-scale neural network interactions. Furthermore, electrophysiological and optogenetic techniques in rodents are beginning to make it possible to quantify and even manipulate such interactions with millisecond precision. In this paper we will discuss that these developments will likely lead to an updated view of the amygdala as a critical nexus within large-scale networks supporting different aspects of memory processing for emotionally arousing experiences. © 2014 Elsevier Inc.","container-title":"Neurobiology of learning and memory","DOI":"10.1016/J.NLM.2014.02.005","ISSN":"1095-9564","note":"PMID: 24583373\npublisher: Neurobiol Learn Mem","page":"2-16","title":"How the amygdala affects emotional memory by altering brain network properties","volume":"112","author":[{"family":"Hermans","given":"Erno J."},{"family":"Battaglia","given":"Francesco P."},{"family":"Atsak","given":"Piray"},{"family":"De Voogd","given":"Lycia D."},{"family":"Fernández","given":"Guillén"},{"family":"Roozendaal","given":"Benno"}],"issued":{"date-parts":[["2014"]]}}}],"schema":"https://github.com/citation-style-language/schema/raw/master/csl-citation.json"} </w:instrText>
      </w:r>
      <w:r w:rsidRPr="00C14DB6">
        <w:rPr>
          <w:b/>
        </w:rPr>
        <w:fldChar w:fldCharType="separate"/>
      </w:r>
      <w:r w:rsidRPr="00C14DB6">
        <w:t>[7]</w:t>
      </w:r>
      <w:r w:rsidRPr="00C14DB6">
        <w:rPr>
          <w:b/>
        </w:rPr>
        <w:fldChar w:fldCharType="end"/>
      </w:r>
      <w:r w:rsidRPr="00C14DB6">
        <w:t xml:space="preserve"> plays a key role in stress coping. The dlPFC, a brain region involved in attentional control, executive function, and reappraisal of negative experiences </w:t>
      </w:r>
      <w:r w:rsidRPr="00C14DB6">
        <w:rPr>
          <w:b/>
        </w:rPr>
        <w:fldChar w:fldCharType="begin"/>
      </w:r>
      <w:r w:rsidRPr="00C14DB6">
        <w:instrText xml:space="preserve"> ADDIN ZOTERO_ITEM CSL_CITATION {"citationID":"EBqrIpWf","properties":{"formattedCitation":"[8]","plainCitation":"[8]","noteIndex":0},"citationItems":[{"id":469,"uris":["http://zotero.org/groups/4860232/items/CK44LD24"],"itemData":{"id":469,"type":"article-journal","abstract":"A primary aim in the neuroscientific study of depression is to identify the brain areas involved in the pathogenesis of symptoms. In this review, we describe evidence from studies employing various experimental approaches in humans (functional imaging, lesion method, and brain stimulation) that converge to implicate the ventromedial and dorsolateral sectors of prefrontal cortex as critical neural substrates for depression, albeit with distinct functional contributions. The putative roles of ventromedial and dorsolateral prefrontal cortex in depression are discussed in light of the results. © 2009 Elsevier B.V.","container-title":"Behavioural brain research","DOI":"10.1016/J.BBR.2009.03.004","ISSN":"01664328","issue":"2","note":"PMID: 19428640\npublisher: NIH Public Access","page":"239","title":"The functional neuroanatomy of depression: Distinct roles for ventromedial and dorsolateral prefrontal cortex","volume":"201","author":[{"family":"Koenigs","given":"Michael"},{"family":"Grafman","given":"Jordan"}],"issued":{"date-parts":[["2009",8,12]]}}}],"schema":"https://github.com/citation-style-language/schema/raw/master/csl-citation.json"} </w:instrText>
      </w:r>
      <w:r w:rsidRPr="00C14DB6">
        <w:rPr>
          <w:b/>
        </w:rPr>
        <w:fldChar w:fldCharType="separate"/>
      </w:r>
      <w:r w:rsidRPr="00C14DB6">
        <w:t>[8]</w:t>
      </w:r>
      <w:r w:rsidRPr="00C14DB6">
        <w:rPr>
          <w:b/>
        </w:rPr>
        <w:fldChar w:fldCharType="end"/>
      </w:r>
      <w:r w:rsidRPr="00C14DB6">
        <w:t xml:space="preserve">, downregulates amygdala activity, </w:t>
      </w:r>
      <w:r w:rsidRPr="00C14DB6">
        <w:lastRenderedPageBreak/>
        <w:t xml:space="preserve">thereby improving stress coping. In contrast, activation of the ventromedial-frontal region, involved in stress processing </w:t>
      </w:r>
      <w:r w:rsidRPr="00C14DB6">
        <w:rPr>
          <w:b/>
        </w:rPr>
        <w:fldChar w:fldCharType="begin"/>
      </w:r>
      <w:r w:rsidRPr="00C14DB6">
        <w:instrText xml:space="preserve"> ADDIN ZOTERO_ITEM CSL_CITATION {"citationID":"5j4wg9Kb","properties":{"formattedCitation":"[9,10]","plainCitation":"[9,10]","noteIndex":0},"citationItems":[{"id":432,"uris":["http://zotero.org/groups/4860232/items/ZPTPMQBM"],"itemData":{"id":432,"type":"article-journal","abstract":"Early neuroimaging studies using Cyberball suggested that social rejection activated the pain matrix, as identified in studies of physical pain. However, these early studies were characterized by small sample sizes. Our statistical multi-level kernel density analysis (MKDA) of Cyberball neuroimaging studies with 244 participants fails to support the claim that social rejection operates on the same pain matrix as nociceptive stimuli, questioning whether social pain is more figurative or literal. We also performed an MKDA of the neuroimaging studies of reliving a romantic rejection to test whether the pain matrix was activated if the rejection were more meaningful. Results again failed to support the notion that rejection activates the neural matrix identified in studies of physical pain. Reliving an unwanted rejection by a romantic partner was significantly characterized by activation within and beyond the Cyberball brain network, suggesting that the neural correlates of social pain are more complex than previously thought.","container-title":"Scientific reports","DOI":"10.1038/SREP02027","ISSN":"2045-2322","note":"PMID: 24002359\npublisher: Sci Rep","title":"A quantitative meta-analysis of functional imaging studies of social rejection","URL":"https://pubmed.ncbi.nlm.nih.gov/24002359/","volume":"3","author":[{"family":"Cacioppo","given":"Stephanie"},{"family":"Frum","given":"Chris"},{"family":"Asp","given":"Erik"},{"family":"Weiss","given":"Robin M."},{"family":"Lewis","given":"James W."},{"family":"Cacioppo","given":"John T."}],"accessed":{"date-parts":[["2022",4,7]]},"issued":{"date-parts":[["2013"]]}}},{"id":483,"uris":["http://zotero.org/groups/4860232/items/WEUIMVAF"],"itemData":{"id":483,"type":"article-journal","abstract":"Whereas we know a fair amount on the role of the amygdala in the acute stress response, virtually nothing is known about its role during the recovery period after the stress has waned. Functional connectivity analysis of the amygdala during this period might be useful in revealing brain circuits promoting adaptive recovery from a stressful event, as well as consolidation of emotionally relevant information in preparing for future challenges.Healthy participants were randomly assigned to either a psychosocial stress task (n = 18; stress group) or a comparable non-stressful control procedure (n = 20; controls). To study the prolonged effects of stress on amygdala functional connectivity, resting-state fMRI scans were acquired an hour after the stress task. Amygdala functional connectivity with other brain regions was assessed using seed-based correlations.The stress group exhibited a strong physiological and behavioral reaction to psychosocial stress exposure. Compared with controls the stress group showed increased amygdala functional connectivity with three cortical midline structures: the posterior cingulate cortex and precuneus (p&lt;05, corrected), and the medial prefrontal cortex (p&lt;05, small volume corrected).An hour after psychosocial stress, changes in amygdala functional connectivity were detected with cortical midline structures involved in the processing and regulation of emotions, as well as autobiographical memory. It is hypothesized that these effects could relate to top-down control of the amygdala and consolidation of self-relevant information after a stressful event. These results on functional connectivity in the recovery phase after stress might provide an important new vantage point in studying both sensitivity and resilience to stress. © 2011 Elsevier Inc.","container-title":"NeuroImage","DOI":"10.1016/J.NEUROIMAGE.2011.05.074","ISSN":"10538119","issue":"4","note":"PMID: 21664280","page":"1534-1541","title":"Beyond acute social stress: Increased functional connectivity between amygdala and cortical midline structures","volume":"57","author":[{"family":"Veer","given":"Ilya M."},{"family":"Oei","given":"Nicole Y.L."},{"family":"Spinhoven","given":"Philip"},{"family":"Buchem","given":"Mark A.","non-dropping-particle":"van"},{"family":"Elzinga","given":"Bernet M."},{"family":"Rombouts","given":"Serge A.R.B."}],"issued":{"date-parts":[["2011",8,15]]}}}],"schema":"https://github.com/citation-style-language/schema/raw/master/csl-citation.json"} </w:instrText>
      </w:r>
      <w:r w:rsidRPr="00C14DB6">
        <w:rPr>
          <w:b/>
        </w:rPr>
        <w:fldChar w:fldCharType="separate"/>
      </w:r>
      <w:r w:rsidRPr="00C14DB6">
        <w:t>[9,10]</w:t>
      </w:r>
      <w:r w:rsidRPr="00C14DB6">
        <w:rPr>
          <w:b/>
        </w:rPr>
        <w:fldChar w:fldCharType="end"/>
      </w:r>
      <w:r w:rsidRPr="00C14DB6">
        <w:t xml:space="preserve">, attentional emotional processing </w:t>
      </w:r>
      <w:r w:rsidRPr="00C14DB6">
        <w:rPr>
          <w:b/>
        </w:rPr>
        <w:fldChar w:fldCharType="begin"/>
      </w:r>
      <w:r w:rsidRPr="00C14DB6">
        <w:instrText xml:space="preserve"> ADDIN ZOTERO_ITEM CSL_CITATION {"citationID":"8FxZrILl","properties":{"formattedCitation":"[11]","plainCitation":"[11]","noteIndex":0},"citationItems":[{"id":422,"uris":["http://zotero.org/groups/4860232/items/GRH83YKJ"],"itemData":{"id":422,"type":"article-journal","abstract":"Studies in the field of social neuroscience have recently made use of computational models of decision-making to provide new insights into how we learn about the self and others during social interactions. Importantly, these studies have increasingly drawn attention to brain areas outside of classical cortical “social brain” regions that may be critical for social processing. In particular, two portions of the ventral anterior cingulate cortex (vACC), subgenual anterior cingulate cortex and perigenual anterior cingulate cortex, have been linked to social and self learning signals, respectively. Here we discuss the emerging parallels between these studies. Uncovering the function of vACC during social interactions could provide important new avenues to understand social decision-making in health and disease.","container-title":"Neuroscience &amp; Biobehavioral Reviews","DOI":"10.1016/j.neubiorev.2018.05.030","ISSN":"01497634","note":"publisher: Pergamon","page":"187-191","title":"Ventral anterior cingulate cortex and social decision-making","volume":"92","author":[{"family":"Lockwood","given":"Patricia L."},{"family":"Wittmann","given":"Marco K."}],"issued":{"date-parts":[["2018",9,1]]}}}],"schema":"https://github.com/citation-style-language/schema/raw/master/csl-citation.json"} </w:instrText>
      </w:r>
      <w:r w:rsidRPr="00C14DB6">
        <w:rPr>
          <w:b/>
        </w:rPr>
        <w:fldChar w:fldCharType="separate"/>
      </w:r>
      <w:r w:rsidRPr="00C14DB6">
        <w:t>[11]</w:t>
      </w:r>
      <w:r w:rsidRPr="00C14DB6">
        <w:rPr>
          <w:b/>
        </w:rPr>
        <w:fldChar w:fldCharType="end"/>
      </w:r>
      <w:r w:rsidRPr="00C14DB6">
        <w:t xml:space="preserve"> and in reward processing </w:t>
      </w:r>
      <w:r w:rsidRPr="00C14DB6">
        <w:rPr>
          <w:b/>
        </w:rPr>
        <w:fldChar w:fldCharType="begin"/>
      </w:r>
      <w:r w:rsidRPr="00C14DB6">
        <w:instrText xml:space="preserve"> ADDIN ZOTERO_ITEM CSL_CITATION {"citationID":"0WfFDuWr","properties":{"formattedCitation":"[12]","plainCitation":"[12]","noteIndex":0},"citationItems":[{"id":460,"uris":["http://zotero.org/groups/4860232/items/Q56FKAKU"],"itemData":{"id":460,"type":"article-journal","abstract":"Flexibly adapting behavior in dynamic environments relies on fronto-limbic networks that include the amygdala, orbitofrontal cortex, and striatum. Animal work demonstrates that interactions among these regions are critical for flexible feedback-guided learning, but it remains unknown to what extent such anatomical-functional interactions operate in humans. Here, we use connectivity analyses in both structural and functional MRI to further our understanding of how brain circuits work in conjunction to promote goal-directed behavior. In particular, fiber tracking based on diffusion-weighted imaging provides information about anatomical connectivity between brain structures, and functional MRI provides estimates of functional connectivity between structures. We found that, during a feedback-guided reversal learning task, the strength of estimated white matter tracts from the amygdala to the hippocampus, orbitofrontal cortex, and ventral striatum predicted both how subjects adapted their behavior following positive and negative feedback, and the functional connectivity (estimated from functional MRI time series) between the amygdala and these regions. In addition, we identified a dissociation between an amygdala-hippocampus circuit that predicted response switching, and an amygdala-orbitofrontal cortex circuit that predicted learning following rule reversals. These findings provide novel insights into how the anatomy and functioning of amygdala-related brain circuits mediate different aspects of feedback-guided learning behavior. © 2007 Elsevier Inc. All rights reserved.","container-title":"NeuroImage","DOI":"10.1016/J.NEUROIMAGE.2007.10.004","ISSN":"1053-8119","issue":"3","note":"PMID: 17997112\npublisher: Academic Press","page":"1396-1407","title":"Amygdala tractography predicts functional connectivity and learning during feedback-guided decision-making","volume":"39","author":[{"family":"Cohen","given":"Michael X."},{"family":"Elger","given":"Christian E."},{"family":"Weber","given":"Bernd"}],"issued":{"date-parts":[["2008",2,1]]}}}],"schema":"https://github.com/citation-style-language/schema/raw/master/csl-citation.json"} </w:instrText>
      </w:r>
      <w:r w:rsidRPr="00C14DB6">
        <w:rPr>
          <w:b/>
        </w:rPr>
        <w:fldChar w:fldCharType="separate"/>
      </w:r>
      <w:r w:rsidRPr="00C14DB6">
        <w:t>[12]</w:t>
      </w:r>
      <w:r w:rsidRPr="00C14DB6">
        <w:rPr>
          <w:b/>
        </w:rPr>
        <w:fldChar w:fldCharType="end"/>
      </w:r>
      <w:r w:rsidRPr="00C14DB6">
        <w:t>, upregulates amygdala activity, resulting in a lower ability for stress coping. Thus, this framework specifies effects to stress via brain connectivities.</w:t>
      </w:r>
    </w:p>
    <w:bookmarkEnd w:id="1"/>
    <w:p w14:paraId="60DABC72" w14:textId="77777777" w:rsidR="00B944B2" w:rsidRPr="00C14DB6" w:rsidRDefault="00B944B2" w:rsidP="00C14DB6">
      <w:pPr>
        <w:pStyle w:val="MDPI31text"/>
        <w:ind w:left="0"/>
        <w:rPr>
          <w:b/>
        </w:rPr>
      </w:pPr>
      <w:r w:rsidRPr="00C14DB6">
        <w:t xml:space="preserve">Resting-state functional connectivity (rsFC) is of particular interest when investigating interactions between brain areas. Therewith, rsFC can be used to determine anticipatory effects and the aftermath of stress in neural networks, including those described by the framework by de Raedt and Hooley </w:t>
      </w:r>
      <w:r w:rsidRPr="00C14DB6">
        <w:rPr>
          <w:b/>
        </w:rPr>
        <w:fldChar w:fldCharType="begin"/>
      </w:r>
      <w:r w:rsidRPr="00C14DB6">
        <w:instrText xml:space="preserve"> ADDIN ZOTERO_ITEM CSL_CITATION {"citationID":"vidYh2mb","properties":{"formattedCitation":"[6]","plainCitation":"[6]","noteIndex":0},"citationItems":[{"id":522,"uris":["http://zotero.org/groups/4860232/items/SD9SHXA4"],"itemData":{"id":522,"type":"article-journal","abstract":"When confronted with stressful or emotionally arousing situations, regulatory abilities should allow us to adaptively cope. However, depressed individuals often have a low sense of perceived control and are characterized by a negative expectation bias regarding their ability to deal with future stressful events. Low expectancy concerning the ability to deal with future stressful events may result in less initiation of proactive control, a crucial mechanism of cognitive control reflecting sustained and anticipatory maintenance of goal-relevant information in the dorsolateral prefrontal cortex to optimize cognitive performance. In this theoretical review we integrate a diverse body of literature. We argue that the expectancy of an individual's regulatory abilities prior to the presentation of an arousing event or stressful task will be related to anticipation and proactive up- or downregulation of specific neurocircuits before the actual encounter with the stressful event occurs, in a manner that can be either adaptive or maladaptive. Moreover, we discuss the important role of self-esteem as well as the ability to accept the situation when coping is not possible. Our approach has implications for a broad range of disorders and conditions in which stress regulation plays a role, and can be used to guide the use of recently developed clinical interventions, as well as to fine-tune interventions to facilitate proactive control.","container-title":"Clinical Psychology Review","DOI":"10.1016/J.CPR.2016.03.005","ISSN":"0272-7358","note":"PMID: 27064551\npublisher: Pergamon","page":"45-55","title":"The role of expectancy and proactive control in stress regulation: A neurocognitive framework for regulation expectation","volume":"45","author":[{"family":"De Raedt","given":"Rudi"},{"family":"Hooley","given":"Jill M."}],"issued":{"date-parts":[["2016",4,1]]}}}],"schema":"https://github.com/citation-style-language/schema/raw/master/csl-citation.json"} </w:instrText>
      </w:r>
      <w:r w:rsidRPr="00C14DB6">
        <w:rPr>
          <w:b/>
        </w:rPr>
        <w:fldChar w:fldCharType="separate"/>
      </w:r>
      <w:r w:rsidRPr="00C14DB6">
        <w:t>[6]</w:t>
      </w:r>
      <w:r w:rsidRPr="00C14DB6">
        <w:rPr>
          <w:b/>
        </w:rPr>
        <w:fldChar w:fldCharType="end"/>
      </w:r>
      <w:r w:rsidRPr="00C14DB6">
        <w:t xml:space="preserve">. Previous studies already reported increased rsFC between amygdala–dlPFC and amygdala–vACC resulting from psychosocial stress (including both achievement and social stress components) (30min after stress induction) in a mixed sample of females and males </w:t>
      </w:r>
      <w:r w:rsidRPr="00C14DB6">
        <w:rPr>
          <w:b/>
        </w:rPr>
        <w:fldChar w:fldCharType="begin"/>
      </w:r>
      <w:r w:rsidRPr="00C14DB6">
        <w:instrText xml:space="preserve"> ADDIN ZOTERO_ITEM CSL_CITATION {"citationID":"3AtiUZjH","properties":{"formattedCitation":"[13]","plainCitation":"[13]","noteIndex":0},"citationItems":[{"id":495,"uris":["http://zotero.org/groups/4860232/items/3FF6I5XL"],"itemData":{"id":495,"type":"article-journal","abstract":"Stress-induced changes in functional brain connectivity have been linked to the etiology of stress-related disorders. Resting state functional connectivity (rsFC) is especially informative in characterizing the temporal trajectory of glucocorticoids during stress adaptation. Using the imaging Maastricht Acute Stress Test (iMAST), we induced acute stress in 39 healthy volunteers and monitored the neuroendocrine stress levels during three runs of resting state functional magnetic resonance imaging (rs-fMRI): before (run 1), immediately following (run 2), and 30min after acute stress (run 3). The iMAST resulted in strong increases in cortisol levels. Whole-brain analysis revealed that acute stress (run 2 - 1) was characterized by changes in connectivity of the amygdala with the ventrolateral prefrontal cortex (vlPFC), ventral posterior cingulate cortex (PCC), cuneus, parahippocampal gyrus, and culmen. Additionally, cortisol responders were characterized by enhanced amygdala - medial prefrontal cortex (mPFC) connectivity. Stress recovery (run 3 - 2) was characterized by altered amygdala connectivity with the dorsolateral prefrontal cortex (dlPFC), ventral and dorsal anterior cingulate cortex (ACC), anterior hippocampal complex, cuneus, and presupplementary motor area (preSMA). Opposite to non-responders, cortisol responders were characterized by enhanced amygdala connectivity with the anterior hippocampal complex and parahippocampal gyrus, and reduced connectivity with left dlPFC, dACC, and culmen during early recovery. Acute stress responding and recovery are thus associated with changes in the functional connectivity of the amygdala network. Our findings show that these changes may be regulated via stress-induced neuroendocrine levels. Defining stress-induced neuronal network changes is pertinent to developing treatments that target abnormal neuronal activity.","container-title":"PloS one","DOI":"10.1371/JOURNAL.PONE.0124141","ISSN":"1932-6203","issue":"5","note":"PMID: 25946334\npublisher: PLoS One","title":"Temporal dynamics of stress-induced alternations of intrinsic amygdala connectivity and neuroendocrine levels","URL":"https://pubmed.ncbi.nlm.nih.gov/25946334/","volume":"10","author":[{"family":"Quaedflieg","given":"C. W.E.M."},{"family":"Van De Ven","given":"V."},{"family":"Meyer","given":"T."},{"family":"Siep","given":"N."},{"family":"Merckelbach","given":"H."},{"family":"Smeets","given":"T."}],"accessed":{"date-parts":[["2022",2,17]]},"issued":{"date-parts":[["2015",5,6]]}}}],"schema":"https://github.com/citation-style-language/schema/raw/master/csl-citation.json"} </w:instrText>
      </w:r>
      <w:r w:rsidRPr="00C14DB6">
        <w:rPr>
          <w:b/>
        </w:rPr>
        <w:fldChar w:fldCharType="separate"/>
      </w:r>
      <w:r w:rsidRPr="00C14DB6">
        <w:t>[13]</w:t>
      </w:r>
      <w:r w:rsidRPr="00C14DB6">
        <w:rPr>
          <w:b/>
        </w:rPr>
        <w:fldChar w:fldCharType="end"/>
      </w:r>
      <w:r w:rsidRPr="00C14DB6">
        <w:t xml:space="preserve">. In a male-only sample, increased amygdala–vmPFC rsFC has also been reported one hour after psychosocial stress induction </w:t>
      </w:r>
      <w:r w:rsidRPr="00C14DB6">
        <w:rPr>
          <w:b/>
        </w:rPr>
        <w:fldChar w:fldCharType="begin"/>
      </w:r>
      <w:r w:rsidRPr="00C14DB6">
        <w:instrText xml:space="preserve"> ADDIN ZOTERO_ITEM CSL_CITATION {"citationID":"5PH98TVJ","properties":{"formattedCitation":"[10]","plainCitation":"[10]","noteIndex":0},"citationItems":[{"id":483,"uris":["http://zotero.org/groups/4860232/items/WEUIMVAF"],"itemData":{"id":483,"type":"article-journal","abstract":"Whereas we know a fair amount on the role of the amygdala in the acute stress response, virtually nothing is known about its role during the recovery period after the stress has waned. Functional connectivity analysis of the amygdala during this period might be useful in revealing brain circuits promoting adaptive recovery from a stressful event, as well as consolidation of emotionally relevant information in preparing for future challenges.Healthy participants were randomly assigned to either a psychosocial stress task (n = 18; stress group) or a comparable non-stressful control procedure (n = 20; controls). To study the prolonged effects of stress on amygdala functional connectivity, resting-state fMRI scans were acquired an hour after the stress task. Amygdala functional connectivity with other brain regions was assessed using seed-based correlations.The stress group exhibited a strong physiological and behavioral reaction to psychosocial stress exposure. Compared with controls the stress group showed increased amygdala functional connectivity with three cortical midline structures: the posterior cingulate cortex and precuneus (p&lt;05, corrected), and the medial prefrontal cortex (p&lt;05, small volume corrected).An hour after psychosocial stress, changes in amygdala functional connectivity were detected with cortical midline structures involved in the processing and regulation of emotions, as well as autobiographical memory. It is hypothesized that these effects could relate to top-down control of the amygdala and consolidation of self-relevant information after a stressful event. These results on functional connectivity in the recovery phase after stress might provide an important new vantage point in studying both sensitivity and resilience to stress. © 2011 Elsevier Inc.","container-title":"NeuroImage","DOI":"10.1016/J.NEUROIMAGE.2011.05.074","ISSN":"10538119","issue":"4","note":"PMID: 21664280","page":"1534-1541","title":"Beyond acute social stress: Increased functional connectivity between amygdala and cortical midline structures","volume":"57","author":[{"family":"Veer","given":"Ilya M."},{"family":"Oei","given":"Nicole Y.L."},{"family":"Spinhoven","given":"Philip"},{"family":"Buchem","given":"Mark A.","non-dropping-particle":"van"},{"family":"Elzinga","given":"Bernet M."},{"family":"Rombouts","given":"Serge A.R.B."}],"issued":{"date-parts":[["2011",8,15]]}}}],"schema":"https://github.com/citation-style-language/schema/raw/master/csl-citation.json"} </w:instrText>
      </w:r>
      <w:r w:rsidRPr="00C14DB6">
        <w:rPr>
          <w:b/>
        </w:rPr>
        <w:fldChar w:fldCharType="separate"/>
      </w:r>
      <w:r w:rsidRPr="00C14DB6">
        <w:t>[10]</w:t>
      </w:r>
      <w:r w:rsidRPr="00C14DB6">
        <w:rPr>
          <w:b/>
        </w:rPr>
        <w:fldChar w:fldCharType="end"/>
      </w:r>
      <w:r w:rsidRPr="00C14DB6">
        <w:t xml:space="preserve">. Additionally, cortisol responders showed a reduced amygdala–dlPFC rsFC and an increased amygdala–mPFC rsFC compared to non-responders, suggesting less effective coping with psychosocial stress in cortisol responders </w:t>
      </w:r>
      <w:r w:rsidRPr="00C14DB6">
        <w:rPr>
          <w:b/>
        </w:rPr>
        <w:fldChar w:fldCharType="begin"/>
      </w:r>
      <w:r w:rsidRPr="00C14DB6">
        <w:instrText xml:space="preserve"> ADDIN ZOTERO_ITEM CSL_CITATION {"citationID":"4TuFQlwm","properties":{"formattedCitation":"[13]","plainCitation":"[13]","noteIndex":0},"citationItems":[{"id":495,"uris":["http://zotero.org/groups/4860232/items/3FF6I5XL"],"itemData":{"id":495,"type":"article-journal","abstract":"Stress-induced changes in functional brain connectivity have been linked to the etiology of stress-related disorders. Resting state functional connectivity (rsFC) is especially informative in characterizing the temporal trajectory of glucocorticoids during stress adaptation. Using the imaging Maastricht Acute Stress Test (iMAST), we induced acute stress in 39 healthy volunteers and monitored the neuroendocrine stress levels during three runs of resting state functional magnetic resonance imaging (rs-fMRI): before (run 1), immediately following (run 2), and 30min after acute stress (run 3). The iMAST resulted in strong increases in cortisol levels. Whole-brain analysis revealed that acute stress (run 2 - 1) was characterized by changes in connectivity of the amygdala with the ventrolateral prefrontal cortex (vlPFC), ventral posterior cingulate cortex (PCC), cuneus, parahippocampal gyrus, and culmen. Additionally, cortisol responders were characterized by enhanced amygdala - medial prefrontal cortex (mPFC) connectivity. Stress recovery (run 3 - 2) was characterized by altered amygdala connectivity with the dorsolateral prefrontal cortex (dlPFC), ventral and dorsal anterior cingulate cortex (ACC), anterior hippocampal complex, cuneus, and presupplementary motor area (preSMA). Opposite to non-responders, cortisol responders were characterized by enhanced amygdala connectivity with the anterior hippocampal complex and parahippocampal gyrus, and reduced connectivity with left dlPFC, dACC, and culmen during early recovery. Acute stress responding and recovery are thus associated with changes in the functional connectivity of the amygdala network. Our findings show that these changes may be regulated via stress-induced neuroendocrine levels. Defining stress-induced neuronal network changes is pertinent to developing treatments that target abnormal neuronal activity.","container-title":"PloS one","DOI":"10.1371/JOURNAL.PONE.0124141","ISSN":"1932-6203","issue":"5","note":"PMID: 25946334\npublisher: PLoS One","title":"Temporal dynamics of stress-induced alternations of intrinsic amygdala connectivity and neuroendocrine levels","URL":"https://pubmed.ncbi.nlm.nih.gov/25946334/","volume":"10","author":[{"family":"Quaedflieg","given":"C. W.E.M."},{"family":"Van De Ven","given":"V."},{"family":"Meyer","given":"T."},{"family":"Siep","given":"N."},{"family":"Merckelbach","given":"H."},{"family":"Smeets","given":"T."}],"accessed":{"date-parts":[["2022",2,17]]},"issued":{"date-parts":[["2015",5,6]]}}}],"schema":"https://github.com/citation-style-language/schema/raw/master/csl-citation.json"} </w:instrText>
      </w:r>
      <w:r w:rsidRPr="00C14DB6">
        <w:rPr>
          <w:b/>
        </w:rPr>
        <w:fldChar w:fldCharType="separate"/>
      </w:r>
      <w:r w:rsidRPr="00C14DB6">
        <w:t>[13]</w:t>
      </w:r>
      <w:r w:rsidRPr="00C14DB6">
        <w:rPr>
          <w:b/>
        </w:rPr>
        <w:fldChar w:fldCharType="end"/>
      </w:r>
      <w:r w:rsidRPr="00C14DB6">
        <w:t xml:space="preserve">, and the administration of hydrocortisone to raise cortisol levels increased task-based amygdala–mPFC coupling in a dynamic facial expression task in a male-only sample </w:t>
      </w:r>
      <w:r w:rsidRPr="00C14DB6">
        <w:rPr>
          <w:b/>
        </w:rPr>
        <w:fldChar w:fldCharType="begin"/>
      </w:r>
      <w:r w:rsidRPr="00C14DB6">
        <w:instrText xml:space="preserve"> ADDIN ZOTERO_ITEM CSL_CITATION {"citationID":"yAHwAguZ","properties":{"formattedCitation":"[14]","plainCitation":"[14]","noteIndex":0},"citationItems":[{"id":494,"uris":["http://zotero.org/groups/4860232/items/KAFW9Z67"],"itemData":{"id":494,"type":"article-journal","abstract":"Acute stress is associated with a sensitized amygdala. Corticosteroids, released in response to stress, are suggested to restore homeostasis by normalizing/desensitizing brain processing in the aftermath of stress. Here, we investigated the effects of corticosteroids on amygdala processing using functional magnetic resonance imaging. Since corticosteroids exert rapid nongenomic and slow genomic effects, we administered hydrocortisone either 75 min (rapid effects) or 285 min (slow effects) before scanning in a randomized, double-blind, placebo-controlled design. Seventy-two healthy males were scanned while viewing faces morphing from a neutral facial expression into fearful or happy expressions. Imaging results revealed that hydrocortisone desensitizes amygdala responsivity rapidly, while it selectively normalizes responses to negative stimuli slowly. Psychophysiological interaction analyses suggested that this slow normalization is related to an altered coupling of the amygdala with the medial prefrontal cortex. These results reveal a temporarily fine-tuned mechanism that is critical for avoiding amygdala overshoot during stress and enabling adequate recovery thereafter. Copyright © 2010 the authors.","container-title":"The Journal of neuroscience : the official journal of the Society for Neuroscience","DOI":"10.1523/JNEUROSCI.3112-10.2010","ISSN":"1529-2401","issue":"38","note":"PMID: 20861377\npublisher: J Neurosci","page":"12725-12732","title":"Time-dependent effects of corticosteroids on human amygdala processing","volume":"30","author":[{"family":"Henckens","given":"Marloes J.A.G."},{"family":"Van Wingen","given":"Guido A."},{"family":"Joëls","given":"Marian"},{"family":"Fernández","given":"Guillén"}],"issued":{"date-parts":[["2010",9,22]]}}}],"schema":"https://github.com/citation-style-language/schema/raw/master/csl-citation.json"} </w:instrText>
      </w:r>
      <w:r w:rsidRPr="00C14DB6">
        <w:rPr>
          <w:b/>
        </w:rPr>
        <w:fldChar w:fldCharType="separate"/>
      </w:r>
      <w:r w:rsidRPr="00C14DB6">
        <w:t>[14]</w:t>
      </w:r>
      <w:r w:rsidRPr="00C14DB6">
        <w:rPr>
          <w:b/>
        </w:rPr>
        <w:fldChar w:fldCharType="end"/>
      </w:r>
      <w:r w:rsidRPr="00C14DB6">
        <w:t xml:space="preserve">. In contrast to psychosocial stress, in the immediate aftermath of social exclusion brain networks seem to shift towards a more vigilant state through an increase in rsFC of the default mode network with the salience network, thereby increasing the allocation of neural resources to deal with the social exclusion and potentially mobilise energy for a fight-or-flight response </w:t>
      </w:r>
      <w:r w:rsidRPr="00C14DB6">
        <w:rPr>
          <w:b/>
        </w:rPr>
        <w:fldChar w:fldCharType="begin"/>
      </w:r>
      <w:r w:rsidRPr="00C14DB6">
        <w:instrText xml:space="preserve"> ADDIN ZOTERO_ITEM CSL_CITATION {"citationID":"xOReaJVy","properties":{"formattedCitation":"[4]","plainCitation":"[4]","noteIndex":0},"citationItems":[{"id":413,"uris":["http://zotero.org/groups/4860232/items/97D59LQD"],"itemData":{"id":413,"type":"article-journal","abstract":"Stress affects the brain at a network level: the salience network is supposedly upregulated, while at the same time the executive control network is downregulated. While theoretically described, the effects in the aftermath of stress have thus far not been tested empirically. Here, we compared for the first time resting-state functional connectivity in a large sample of healthy volunteers before and after a mild social stressor. Following the theoretical prediction, we focused on connectivity of the salience network (SN), the executive control network (ECN) and the default mode network (DMN). The DMN exhibited increased resting-state functional connectivity following the cyberball task to the key nodes of the SN, namely the dorsal anterior cingulate cortex (dACC) and the anterior insula, as well as sensorimotor regions and higher-order visual areas. We conclude that this increased connectivity of the DMN with key nodes of the SN and regions responsible for preparatory motor activity and visual motion processing indicates a shift towards an 'alerted default mode' in the aftermath of stress. This brain response may be triggered or aggravated by (social) stress induced by the cyberball task, enabling individuals to better reorient attention, detect salient external stimuli, and deal with the emotional and affective consequences of stress.","container-title":"Scientific reports","DOI":"10.1038/SREP40180","ISSN":"2045-2322","note":"PMID: 28054651\npublisher: Sci Rep","title":"Alerted default mode: functional connectivity changes in the aftermath of social stress","URL":"https://pubmed.ncbi.nlm.nih.gov/28054651/","volume":"7","author":[{"family":"Clemens","given":"Benjamin"},{"family":"Wagels","given":"Lisa"},{"family":"Bauchmüller","given":"Magdalena"},{"family":"Bergs","given":"Rene"},{"family":"Habel","given":"Ute"},{"family":"Kohn","given":"Nils"}],"accessed":{"date-parts":[["2021",11,28]]},"issued":{"date-parts":[["2017",1,5]]}}}],"schema":"https://github.com/citation-style-language/schema/raw/master/csl-citation.json"} </w:instrText>
      </w:r>
      <w:r w:rsidRPr="00C14DB6">
        <w:rPr>
          <w:b/>
        </w:rPr>
        <w:fldChar w:fldCharType="separate"/>
      </w:r>
      <w:r w:rsidRPr="00C14DB6">
        <w:t>[4]</w:t>
      </w:r>
      <w:r w:rsidRPr="00C14DB6">
        <w:rPr>
          <w:b/>
        </w:rPr>
        <w:fldChar w:fldCharType="end"/>
      </w:r>
      <w:r w:rsidRPr="00C14DB6">
        <w:t>.</w:t>
      </w:r>
    </w:p>
    <w:p w14:paraId="427C5A0C" w14:textId="67D12EE7" w:rsidR="00B944B2" w:rsidRPr="00C14DB6" w:rsidRDefault="00B944B2" w:rsidP="00C14DB6">
      <w:pPr>
        <w:pStyle w:val="MDPI31text"/>
        <w:ind w:left="0"/>
        <w:rPr>
          <w:b/>
        </w:rPr>
      </w:pPr>
      <w:r w:rsidRPr="00C14DB6">
        <w:t xml:space="preserve">Sex differences are well known in terms of stress reactivity to psychosocial stress (achievement stress with a social component) and their coping mechanism. While females seem to be more susceptible to social stress </w:t>
      </w:r>
      <w:r w:rsidRPr="00C14DB6">
        <w:rPr>
          <w:b/>
        </w:rPr>
        <w:fldChar w:fldCharType="begin"/>
      </w:r>
      <w:r w:rsidRPr="00C14DB6">
        <w:instrText xml:space="preserve"> ADDIN ZOTERO_ITEM CSL_CITATION {"citationID":"LmGzhEl2","properties":{"formattedCitation":"[15]","plainCitation":"[15]","noteIndex":0},"citationItems":[{"id":505,"uris":["http://zotero.org/groups/4860232/items/YSKZ697I"],"itemData":{"id":505,"type":"article-journal","abstract":"Theory and research on sex differences in adjustment focus largely on parental, societal, and biological influences. However, it also is important to consider how peers contribute to girls' and boys' development. This article provides a critical review of sex differences in several peer relationship processes, including behavioral and social-cognitive styles, stress and coping, and relationship provisions. The authors present a speculative peer-socialization model based on this review in which the implications of these sex differences for girls' and boys' emotional and behavioral development are considered. Central to this model is the idea that sex-linked relationship processes have costs and benefits for girls' and boys' adjustment. Finally, the authors present recent research testing certain model components and propose approaches for testing understudied aspects of the model. Copyright 2006 by the American Psychological Association.","container-title":"Psychological bulletin","DOI":"10.1037/0033-2909.132.1.98","ISSN":"00332909","issue":"1","note":"PMID: 16435959\npublisher: NIH Public Access","page":"98","title":"A Review of Sex Differences in Peer Relationship Processes: Potential Trade-offs for the Emotional and Behavioral Development of Girls and Boys","volume":"132","author":[{"family":"Rose","given":"Amanda J."},{"family":"Rudolph","given":"Karen D."}],"issued":{"date-parts":[["2006",1]]}}}],"schema":"https://github.com/citation-style-language/schema/raw/master/csl-citation.json"} </w:instrText>
      </w:r>
      <w:r w:rsidRPr="00C14DB6">
        <w:rPr>
          <w:b/>
        </w:rPr>
        <w:fldChar w:fldCharType="separate"/>
      </w:r>
      <w:r w:rsidRPr="00C14DB6">
        <w:t>[15]</w:t>
      </w:r>
      <w:r w:rsidRPr="00C14DB6">
        <w:rPr>
          <w:b/>
        </w:rPr>
        <w:fldChar w:fldCharType="end"/>
      </w:r>
      <w:r w:rsidRPr="00C14DB6">
        <w:t xml:space="preserve">, males seem to be more sensitive to achievement-related stress </w:t>
      </w:r>
      <w:r w:rsidRPr="00C14DB6">
        <w:rPr>
          <w:b/>
        </w:rPr>
        <w:fldChar w:fldCharType="begin"/>
      </w:r>
      <w:r w:rsidRPr="00C14DB6">
        <w:instrText xml:space="preserve"> ADDIN ZOTERO_ITEM CSL_CITATION {"citationID":"Yf6TqeQH","properties":{"formattedCitation":"[16]","plainCitation":"[16]","noteIndex":0},"citationItems":[{"id":519,"uris":["http://zotero.org/groups/4860232/items/CGB2TLNJ"],"itemData":{"id":519,"type":"article-journal","abstract":"Background: Sex differences in stress responses may be one mechanism underlying gender differences in depression. We hypothesized that men and women would show different adrenocortical responses to different stressors. In particular, we predicted that women would show greater responses to social rejection stressors, whereas men would demonstrate greater responses to achievement stressors. Methods: Following a rest session in which they habituated to the laboratory, 50 healthy volunteers (24 men and 26 women, mean age 19.1, SD = 1.13) were randomly assigned to achievement or rejection stress conditions. The achievement condition involved a mathematical and a verbal challenge; the rejection condition involved two social interaction challenges. Self-reported affect and salivary cortisol were measured throughout each stress session (baseline, stress, and poststress periods). Results: There were no sex differences in mood ratings following the stressors; however, cortisol responses showed the predicted gender by condition by time interaction. Men showed significantly greater cortisol responses to the achievement challenges, but women showed greater cortisol responses to the social rejection challenges. Conclusions: Women appear more physiologically reactive to social rejection challenges, but men react more to achievement challenges. Women's greater reactivity to rejection stress may contribute to the increased rates of affective disorders in women. © 2002 Society of Biological Psychiatry.","container-title":"Biological psychiatry","DOI":"10.1016/S0006-3223(02)01333-1","ISSN":"0006-3223","issue":"4","note":"PMID: 12208639\npublisher: Biol Psychiatry","page":"318-327","title":"Sex differences in stress responses: social rejection versus achievement stress","volume":"52","author":[{"family":"Stroud","given":"Laura R."},{"family":"Salovey","given":"Peter"},{"family":"Epel","given":"Elissa S."}],"issued":{"date-parts":[["2002",8,15]]}}}],"schema":"https://github.com/citation-style-language/schema/raw/master/csl-citation.json"} </w:instrText>
      </w:r>
      <w:r w:rsidRPr="00C14DB6">
        <w:rPr>
          <w:b/>
        </w:rPr>
        <w:fldChar w:fldCharType="separate"/>
      </w:r>
      <w:r w:rsidRPr="00C14DB6">
        <w:t>[16]</w:t>
      </w:r>
      <w:r w:rsidRPr="00C14DB6">
        <w:rPr>
          <w:b/>
        </w:rPr>
        <w:fldChar w:fldCharType="end"/>
      </w:r>
      <w:r w:rsidRPr="00C14DB6">
        <w:t xml:space="preserve">. Sex differences are also apparent in the function and regulation of the HPA-axis, with conflicting studies reporting higher cortisol levels after stress induction in females and others reporting them in males (for review see </w:t>
      </w:r>
      <w:r w:rsidRPr="00C14DB6">
        <w:rPr>
          <w:b/>
        </w:rPr>
        <w:fldChar w:fldCharType="begin"/>
      </w:r>
      <w:r w:rsidRPr="00C14DB6">
        <w:instrText xml:space="preserve"> ADDIN ZOTERO_ITEM CSL_CITATION {"citationID":"8Acd2KX0","properties":{"formattedCitation":"[17]","plainCitation":"[17]","noteIndex":0},"citationItems":[{"id":417,"uris":["http://zotero.org/groups/4860232/items/4EM4PSH3"],"itemData":{"id":417,"type":"article-journal","abstract":"Stress is associated with the onset and severity of several psychiatric disorders that occur more frequently in women than men, including posttraumatic stress disorder (PTSD) and depression. Patients with these disorders present with dysregulation of several stress response systems, including the neuroendocrine response to stress, corticolimbic responses to negatively valenced stimuli, and hyperarousal. Thus, sex differences within their underlying circuitry may explain sex biases in disease prevalence. This review describes clinical studies that identify sex differences within the activity of these circuits, as well as preclinical studies that demonstrate cellular and molecular sex differences in stress responses systems. These studies reveal sex differences from the molecular to the systems level that increase endocrine, emotional, and arousal responses to stress in females. Exploring these sex differences is critical because this research can reveal the neurobiological underpinnings of vulnerability to stress-related psychiatric disorders and guide the development of novel pharmacotherapies.","DOI":"10.1016/j.yfrne.2014.03.008","title":"Sex Differences in Stress-Related Psychiatric Disorders: Neurobiological Perspectives","author":[{"family":"Bangasser","given":"Debra A"},{"family":"Valentino","given":"Rita J"}],"accessed":{"date-parts":[["2021",11,21]]},"issued":{"date-parts":[["2014"]]}}}],"schema":"https://github.com/citation-style-language/schema/raw/master/csl-citation.json"} </w:instrText>
      </w:r>
      <w:r w:rsidRPr="00C14DB6">
        <w:rPr>
          <w:b/>
        </w:rPr>
        <w:fldChar w:fldCharType="separate"/>
      </w:r>
      <w:r w:rsidRPr="00C14DB6">
        <w:t>[17]</w:t>
      </w:r>
      <w:r w:rsidRPr="00C14DB6">
        <w:rPr>
          <w:b/>
        </w:rPr>
        <w:fldChar w:fldCharType="end"/>
      </w:r>
      <w:r w:rsidRPr="00C14DB6">
        <w:t xml:space="preserve">). These sex differences in stress reactivity and coping might contribute to differences between sexes in the prevalence of stress-related diseases </w:t>
      </w:r>
      <w:r w:rsidRPr="00C14DB6">
        <w:rPr>
          <w:b/>
        </w:rPr>
        <w:fldChar w:fldCharType="begin"/>
      </w:r>
      <w:r w:rsidRPr="00C14DB6">
        <w:instrText xml:space="preserve"> ADDIN ZOTERO_ITEM CSL_CITATION {"citationID":"pPSaZQOJ","properties":{"formattedCitation":"[18]","plainCitation":"[18]","noteIndex":0},"citationItems":[{"id":418,"uris":["http://zotero.org/groups/4860232/items/XB6ZF3KJ"],"itemData":{"id":418,"type":"article-journal","abstract":"The hypothalamic–pituitary–adrenal (HPA) axis, a neuroendocrine network that controls hormonal responses to internal and external challenges in an organism’s environment, exhibits strikingly sex-biased activity. In adult female rodents, acute HPA function following a stressor is markedly greater than it is in males, and this difference has largely been attributed to modulation by the gonadal hormones testosterone and estradiol. These gonadal hormones are produced by the hypothalamic–pituitary–gonadal (HPG) axis and have been shown to determine sex differences in adult HPA function after acute stress via their activational and organizational effects. Although these actions of gonadal hormones are well supported, the possibility that sex chromosomes similarly influence HPA activity is unexplored. Moreover, questions remain regarding sex differences in the activity of the HPA axis following chronic stress and the underlying contributions of gonadal hormones and sex chromosomes. The present review examines what is currently known about sex differences in the neuroendocrine response to stress, as well as outstanding questions regarding this sex bias. Although it primarily focuses on the rodent literature, a brief discussion of sex differences in the human HPA axis is also included.","container-title":"Neuropsychopharmacology","DOI":"10.1038/S41386-018-0167-9","ISSN":"1740634X","issue":"1","note":"PMID: 30111811\npublisher: Nature Publishing Group","page":"45","title":"Sex differences in the hypothalamic–pituitary–adrenal axis’ response to stress: an important role for gonadal hormones","volume":"44","author":[{"family":"Heck","given":"Ashley L."},{"family":"Handa","given":"Robert J."}],"issued":{"date-parts":[["2019",1,1]]}}}],"schema":"https://github.com/citation-style-language/schema/raw/master/csl-citation.json"} </w:instrText>
      </w:r>
      <w:r w:rsidRPr="00C14DB6">
        <w:rPr>
          <w:b/>
        </w:rPr>
        <w:fldChar w:fldCharType="separate"/>
      </w:r>
      <w:r w:rsidRPr="00C14DB6">
        <w:t>[18]</w:t>
      </w:r>
      <w:r w:rsidRPr="00C14DB6">
        <w:rPr>
          <w:b/>
        </w:rPr>
        <w:fldChar w:fldCharType="end"/>
      </w:r>
      <w:r w:rsidRPr="00C14DB6">
        <w:t xml:space="preserve">, where females have a higher risk of suffering from affective disorders, such as depression and anxiety </w:t>
      </w:r>
      <w:r w:rsidRPr="00C14DB6">
        <w:rPr>
          <w:b/>
        </w:rPr>
        <w:fldChar w:fldCharType="begin"/>
      </w:r>
      <w:r w:rsidRPr="00C14DB6">
        <w:instrText xml:space="preserve"> ADDIN ZOTERO_ITEM CSL_CITATION {"citationID":"R3riPyHA","properties":{"formattedCitation":"[19,20]","plainCitation":"[19,20]","noteIndex":0},"citationItems":[{"id":468,"uris":["http://zotero.org/groups/4860232/items/Y4TZ7AAW"],"itemData":{"id":468,"type":"article-journal","abstract":"Increased prevalence, severity, and burden of anxiety, trauma-related and stress-related disorders in women compared with men has been well documented. Evidence from a variety of fields has emerged suggesting that sex hormones, particularly oestradiol and progesterone, play a significant part in generation of these sex differences. In this Series paper, we aim to integrate the literature reporting on the effects of sex hormones on biological, behavioural, and cognitive pathways, to propose two broad mechanisms by which oestradiol and progesterone influence sex differences in anxiety disorders: augmentation of vulnerability factors associated with anxiety disorder development; and facilitation of the maintenance of anxious symptoms post-development. The implications for future research, along with novel approaches to psychological and pharmacological treatment of anxiety disorders, are also considered.","container-title":"The lancet. Psychiatry","DOI":"10.1016/S2215-0366(16)30358-3","ISSN":"2215-0374","issue":"1","note":"PMID: 27856395\npublisher: Lancet Psychiatry","page":"73-82","title":"Why are women so vulnerable to anxiety, trauma-related and stress-related disorders? The potential role of sex hormones","volume":"4","author":[{"family":"Li","given":"Sophie H."},{"family":"Graham","given":"Bronwyn M."}],"issued":{"date-parts":[["2017",1,1]]}}},{"id":424,"uris":["http://zotero.org/groups/4860232/items/7F3PPCC4"],"itemData":{"id":424,"type":"article-journal","abstract":"Clinicians can encounter sex and gender disparities in diagnostic and therapeutic responses. These disparities are noted in epidemiology, pathophysiology, clinical manifestations, disease progression, and response to treatment. This Review discusses the fundamental influences of sex and gender as modifiers of the major causes of death and morbidity. We articulate how the genetic, epigenetic, and hormonal influences of biological sex influence physiology and disease, and how the social constructs of gender affect the behaviour of the community, clinicians, and patients in the health-care system and interact with pathobiology. We aim to guide clinicians and researchers to consider sex and gender in their approach to diagnosis, prevention, and treatment of diseases as a necessary and fundamental step towards precision medicine, which will benefit men's and women's health.","container-title":"Lancet (London, England)","DOI":"10.1016/S0140-6736(20)31561-0","ISSN":"1474547X","issue":"10250","note":"PMID: 32828189\npublisher: Elsevier","page":"565","title":"Sex and gender: modifiers of health, disease, and medicine","volume":"396","author":[{"family":"Mauvais-Jarvis","given":"Franck"},{"family":"Bairey Merz","given":"Noel"},{"family":"Barnes","given":"Peter J."},{"family":"Brinton","given":"Roberta D."},{"family":"Carrero","given":"Juan Jesus"},{"family":"DeMeo","given":"Dawn L."},{"family":"De Vries","given":"Geert J."},{"family":"Epperson","given":"C. Neill"},{"family":"Govindan","given":"Ramaswamy"},{"family":"Klein","given":"Sabra L."},{"family":"Lonardo","given":"Amedeo"},{"family":"Maki","given":"Pauline M."},{"family":"McCullough","given":"Louise D."},{"family":"Regitz-Zagrosek","given":"Vera"},{"family":"Regensteiner","given":"Judith G."},{"family":"Rubin","given":"Joshua B."},{"family":"Sandberg","given":"Kathryn"},{"family":"Suzuki","given":"Ayako"}],"issued":{"date-parts":[["2020",8,22]]}}}],"schema":"https://github.com/citation-style-language/schema/raw/master/csl-citation.json"} </w:instrText>
      </w:r>
      <w:r w:rsidRPr="00C14DB6">
        <w:rPr>
          <w:b/>
        </w:rPr>
        <w:fldChar w:fldCharType="separate"/>
      </w:r>
      <w:r w:rsidRPr="00C14DB6">
        <w:t>[19,20]</w:t>
      </w:r>
      <w:r w:rsidRPr="00C14DB6">
        <w:rPr>
          <w:b/>
        </w:rPr>
        <w:fldChar w:fldCharType="end"/>
      </w:r>
      <w:r w:rsidRPr="00C14DB6">
        <w:t xml:space="preserve">, while males more likely suffer from substance </w:t>
      </w:r>
      <w:r w:rsidR="006823CA" w:rsidRPr="00C14DB6">
        <w:t xml:space="preserve">misuse </w:t>
      </w:r>
      <w:r w:rsidRPr="00C14DB6">
        <w:rPr>
          <w:b/>
        </w:rPr>
        <w:fldChar w:fldCharType="begin"/>
      </w:r>
      <w:r w:rsidRPr="00C14DB6">
        <w:instrText xml:space="preserve"> ADDIN ZOTERO_ITEM CSL_CITATION {"citationID":"moMLBLdZ","properties":{"formattedCitation":"[20,21]","plainCitation":"[20,21]","noteIndex":0},"citationItems":[{"id":424,"uris":["http://zotero.org/groups/4860232/items/7F3PPCC4"],"itemData":{"id":424,"type":"article-journal","abstract":"Clinicians can encounter sex and gender disparities in diagnostic and therapeutic responses. These disparities are noted in epidemiology, pathophysiology, clinical manifestations, disease progression, and response to treatment. This Review discusses the fundamental influences of sex and gender as modifiers of the major causes of death and morbidity. We articulate how the genetic, epigenetic, and hormonal influences of biological sex influence physiology and disease, and how the social constructs of gender affect the behaviour of the community, clinicians, and patients in the health-care system and interact with pathobiology. We aim to guide clinicians and researchers to consider sex and gender in their approach to diagnosis, prevention, and treatment of diseases as a necessary and fundamental step towards precision medicine, which will benefit men's and women's health.","container-title":"Lancet (London, England)","DOI":"10.1016/S0140-6736(20)31561-0","ISSN":"1474547X","issue":"10250","note":"PMID: 32828189\npublisher: Elsevier","page":"565","title":"Sex and gender: modifiers of health, disease, and medicine","volume":"396","author":[{"family":"Mauvais-Jarvis","given":"Franck"},{"family":"Bairey Merz","given":"Noel"},{"family":"Barnes","given":"Peter J."},{"family":"Brinton","given":"Roberta D."},{"family":"Carrero","given":"Juan Jesus"},{"family":"DeMeo","given":"Dawn L."},{"family":"De Vries","given":"Geert J."},{"family":"Epperson","given":"C. Neill"},{"family":"Govindan","given":"Ramaswamy"},{"family":"Klein","given":"Sabra L."},{"family":"Lonardo","given":"Amedeo"},{"family":"Maki","given":"Pauline M."},{"family":"McCullough","given":"Louise D."},{"family":"Regitz-Zagrosek","given":"Vera"},{"family":"Regensteiner","given":"Judith G."},{"family":"Rubin","given":"Joshua B."},{"family":"Sandberg","given":"Kathryn"},{"family":"Suzuki","given":"Ayako"}],"issued":{"date-parts":[["2020",8,22]]}}},{"id":474,"uris":["http://zotero.org/groups/4860232/items/K2A4EACF"],"itemData":{"id":474,"type":"article-journal","abstract":"Women are about twice as likely as are men to develop depression during their lifetime. This Series paper summarises evidence regarding the epidemiology on gender differences in prevalence, incidence, and course of depression, and factors possibly explaining the gender gap. Gender-related subtypes of depression are suggested to exist, of which the developmental subtype has the strongest potential to contribute to the gender gap. Limited evidence exists for risk factors to be specifically linked to depression. Future research could profit from a transdiagnostic perspective, permitting the differentiation of specific susceptibilities from those predicting general psychopathologies within and across the internalising and externalising spectra. An integration of the Research Domain Criteria framework will allow examination of gender differences in core psychological functions, within the context of developmental transitions and environmental settings. Monitoring of changing socioeconomic and cultural trends in factors contributing to the gender gap will be important, as well as the influence of these trends on changes in symptom expression across psychopathologies in men and women.","container-title":"The lancet. Psychiatry","DOI":"10.1016/S2215-0366(16)30263-2","ISSN":"2215-0374","issue":"2","note":"PMID: 27856392\npublisher: Lancet Psychiatry","page":"146-158","title":"Why is depression more common among women than among men?","volume":"4","author":[{"family":"Kuehner","given":"Christine"}],"issued":{"date-parts":[["2017",2,1]]}}}],"schema":"https://github.com/citation-style-language/schema/raw/master/csl-citation.json"} </w:instrText>
      </w:r>
      <w:r w:rsidRPr="00C14DB6">
        <w:rPr>
          <w:b/>
        </w:rPr>
        <w:fldChar w:fldCharType="separate"/>
      </w:r>
      <w:r w:rsidRPr="00C14DB6">
        <w:t>[20,21]</w:t>
      </w:r>
      <w:r w:rsidRPr="00C14DB6">
        <w:rPr>
          <w:b/>
        </w:rPr>
        <w:fldChar w:fldCharType="end"/>
      </w:r>
      <w:r w:rsidRPr="00C14DB6">
        <w:t xml:space="preserve">. To assess sex differences in the coupling of brain regions, rsFC is of specific interest, as during resting-state, neural connectivity can be characterized beyond task-based activation, which is of particular interest when it comes to differences in abilities or preconditions between females and males. Concerning sex differences in rsFC of the amygdala with frontal regions independent of stress reactivity, several studies reported significant findings. In adolescent boys increased left amygdala–mPFC rsFC was reported, whereas girls showed an increased right amygdala–mPFC rsFC </w:t>
      </w:r>
      <w:r w:rsidRPr="00C14DB6">
        <w:rPr>
          <w:b/>
        </w:rPr>
        <w:fldChar w:fldCharType="begin"/>
      </w:r>
      <w:r w:rsidRPr="00C14DB6">
        <w:instrText xml:space="preserve"> ADDIN ZOTERO_ITEM CSL_CITATION {"citationID":"BEWy4RQN","properties":{"formattedCitation":"[22]","plainCitation":"[22]","noteIndex":0},"citationItems":[{"id":489,"uris":["http://zotero.org/groups/4860232/items/PBX42APJ"],"itemData":{"id":489,"type":"article-journal","abstract":"During adolescence, considerable social and biological changes occur that interact with functional brain maturation, some of which are sex-specific. The amygdala is one brain area that has displayed sexual dimorphism, specifically in socio-affective (superficial amygdala [SFA]), stress (centromedial amygdala [CMA]), and learning and memory (basolateral amygdala [BLA]) processing. The amygdala has also been implicated in mood and anxiety disorders which display sex-specific features, most prominently observed during adolescence. Using functional magnetic resonance imaging (fMRI), the present study examined the interaction of age and sex on resting state functional connectivity (RSFC) of amygdala sub-regions, BLA and SFA, in a sample of healthy adolescents between the ages 10 and 16. years (n = 122, 71 boys). Whole-brain, voxel-wise partial correlation analyses were conducted to determine RSFC of bilateral BLA and SFA seed regions, created using the Eickhoff-Zilles maximum probability maps based on cytoarchitectonic mapping and FMRIB's Integrated Registration and Segmentation Tool (FIRST). Monte Carlo simulation was implemented to correct for multiple comparisons (threshold of 53 contiguous voxels with a z-value. ≥ 2.25). Results indicated that with increasing age, there was a corresponding decrease in RSFC between both amygdala sub-regions and parieto-occipital cortices, with a concurrent increase in RSFC with medial prefrontal cortex (mPFC). Specifically, boys and girls demonstrated increased coupling of mPFC and left and right SFA with age, respectively; however, neither sex showed increased connectivity between mPFC and BLA, which could indicate relative immaturity of fronto-limbic networks that is similar across sex. A dissociation in connectivity between BLA- and SFA-parieto-occipital RSFC emerged, in which girls had weaker negative RSFC between SFA and parieto-occipital regions and boys had weaker negative RSFC of BLA and parieto-occipital regions with increased age, both standing in contrast to adult patterns of amygdala sub-regional RSFC. The present findings suggest relative immaturity of amygdala sub-regional RSFC with parieto-occipital cortices during adolescence, with unique patterns in both sexes that may support memory and socio-affective processing in boys and girls, respectively. Understanding the underlying normative functional architecture of brain networks associated with the amygdala during adolescence may better inform future research of the neural features associated with increased risk for internalizing psychopathology.","container-title":"NeuroImage","DOI":"10.1016/J.NEUROIMAGE.2015.04.013","ISSN":"10959572","note":"PMID: 25887261\npublisher: NIH Public Access","page":"235","title":"Developmental sex differences in resting state functional connectivity of amygdala sub-regions","volume":"115","author":[{"family":"Alarcón","given":"Gabriela"},{"family":"Cservenka","given":"Anita"},{"family":"Rudolph","given":"Marc D."},{"family":"Fair","given":"Damien A."},{"family":"Nagel","given":"Bonnie J."}],"issued":{"date-parts":[["2015",7,5]]}}}],"schema":"https://github.com/citation-style-language/schema/raw/master/csl-citation.json"} </w:instrText>
      </w:r>
      <w:r w:rsidRPr="00C14DB6">
        <w:rPr>
          <w:b/>
        </w:rPr>
        <w:fldChar w:fldCharType="separate"/>
      </w:r>
      <w:r w:rsidRPr="00C14DB6">
        <w:t>[22]</w:t>
      </w:r>
      <w:r w:rsidRPr="00C14DB6">
        <w:rPr>
          <w:b/>
        </w:rPr>
        <w:fldChar w:fldCharType="end"/>
      </w:r>
      <w:r w:rsidRPr="00C14DB6">
        <w:t>. In adults, higher amygdala–vmPFC rsFC emerged in</w:t>
      </w:r>
      <w:r w:rsidRPr="00C14DB6" w:rsidDel="00C034ED">
        <w:t xml:space="preserve"> </w:t>
      </w:r>
      <w:r w:rsidRPr="00C14DB6">
        <w:t xml:space="preserve">males compared to females </w:t>
      </w:r>
      <w:r w:rsidRPr="00C14DB6">
        <w:rPr>
          <w:b/>
        </w:rPr>
        <w:fldChar w:fldCharType="begin"/>
      </w:r>
      <w:r w:rsidRPr="00C14DB6">
        <w:instrText xml:space="preserve"> ADDIN ZOTERO_ITEM CSL_CITATION {"citationID":"lfE3WW8m","properties":{"formattedCitation":"[23]","plainCitation":"[23]","noteIndex":0},"citationItems":[{"id":488,"uris":["http://zotero.org/groups/4860232/items/PU6RUKPJ"],"itemData":{"id":488,"type":"article-journal","abstract":"The amygdala is a hub in emotional processing, including that of negative affect. Healthy men and women have distinct differences in amygdala responses, potentially setting the stage for the observed sex differences in the prevalence of fear, anxiety, and pain disorders. Here, we examined how amygdala subnuclei resting-state functional connectivity is affected by sex, as well as explored how the functional connectivity is related to estrogen levels. Resting-state functional connectivity was measured using functional magnetic resonance imaging (fMRI) with seeds placed in the left and right laterobasal (LB) and centromedial (CM) amygdala. Sex differences were studied in 48 healthy men and 48 healthy women, matched for age, while the association with estrogen was analyzed in a subsample of 24 women, for whom hormone levels had been assessed. For the hormone analyses, the subsample was further divided into a lower and higher estrogen levels group based on a median split. We found distinct sex differences in the LB and CM amygdala resting-state functional connectivity, as well as preliminary evidence for an association between estrogen levels and connectivity patterns. These results are potentially valuable in explaining why women are more afflicted by conditions of negative affect than are men, and could imply a mechanistic role for estrogen in modulating emotion.","container-title":"Psychoneuroendocrinology","DOI":"10.1016/J.PSYNEUEN.2015.09.012","ISSN":"0306-4530","note":"PMID: 26406106\npublisher: Pergamon","page":"34-42","title":"Amygdala subnuclei resting-state functional connectivity sex and estrogen differences","volume":"63","author":[{"family":"Engman","given":"Jonas"},{"family":"Linnman","given":"Clas"},{"family":"Van Dijk","given":"Koene R.A."},{"family":"Milad","given":"Mohammed R."}],"issued":{"date-parts":[["2016",1,1]]}}}],"schema":"https://github.com/citation-style-language/schema/raw/master/csl-citation.json"} </w:instrText>
      </w:r>
      <w:r w:rsidRPr="00C14DB6">
        <w:rPr>
          <w:b/>
        </w:rPr>
        <w:fldChar w:fldCharType="separate"/>
      </w:r>
      <w:r w:rsidRPr="00C14DB6">
        <w:t>[23]</w:t>
      </w:r>
      <w:r w:rsidRPr="00C14DB6">
        <w:rPr>
          <w:b/>
        </w:rPr>
        <w:fldChar w:fldCharType="end"/>
      </w:r>
      <w:r w:rsidRPr="00C14DB6">
        <w:t xml:space="preserve"> and negative associations of cortisol with rsFC of the amygdala with the dlPFC and the subgenual ACC (sgACC), a subpart of the vACC, in females but positive in males were reported </w:t>
      </w:r>
      <w:r w:rsidRPr="00C14DB6">
        <w:rPr>
          <w:b/>
        </w:rPr>
        <w:fldChar w:fldCharType="begin"/>
      </w:r>
      <w:r w:rsidRPr="00C14DB6">
        <w:instrText xml:space="preserve"> ADDIN ZOTERO_ITEM CSL_CITATION {"citationID":"qgXQA2UZ","properties":{"formattedCitation":"[24]","plainCitation":"[24]","noteIndex":0},"citationItems":[{"id":509,"uris":["http://zotero.org/groups/4860232/items/9F9UT7X4"],"itemData":{"id":509,"type":"article-journal","abstract":"Human amygdalae are involved in various behavioral functions such as affective and stress processing. For these behavioral functions, as well as for psychophysiological arousal including cortisol release, sex differences are reported.Here, we assessed cortisol levels and resting-state functional connectivity (rsFC) of left and right amygdalae in 81 healthy participants (42 women) to investigate potential modulation of amygdala rsFC by sex and cortisol concentration.Our analyses revealed that rsFC of the left amygdala significantly differed between women and men: Women showed stronger rsFC than men between the left amygdala and left middle temporal gyrus, inferior frontal gyrus, postcentral gyrus and hippocampus, regions involved in face processing, inner-speech, fear and pain processing. No stronger connections were detected for men and no sex difference emerged for right amygdala rsFC. Also, an interaction of sex and cortisol appeared: In women, cortisol was negatively associated with rsFC of the amygdalae with striatal regions, mid-orbital frontal gyrus, anterior cingulate gyrus, middle and superior frontal gyri, supplementary motor area and the parietal-occipital sulcus. Contrarily in men, positive associations of cortisol with rsFC of the left amygdala and these structures were observed. Functional decoding analyses revealed an association of the amygdalae and these regions with emotion, reward and memory processing, as well as action execution.Our results suggest that functional connectivity of the amygdalae as well as the regulatory effect of cortisol on brain networks differs between women and men. These sex-differences and the mediating and sex-dependent effect of cortisol on brain communication systems should be taken into account in affective and stress-related neuroimaging research. Thus, more studies including both sexes are required.","container-title":"NeuroImage","DOI":"10.1016/J.NEUROIMAGE.2016.03.064","ISSN":"1095-9572","note":"PMID: 27039701\npublisher: Neuroimage","page":"410-423","title":"Sex differences in the functional connectivity of the amygdalae in association with cortisol","volume":"134","author":[{"family":"Kogler","given":"Lydia"},{"family":"Müller","given":"Veronika I."},{"family":"Seidel","given":"Eva Maria"},{"family":"Boubela","given":"Roland"},{"family":"Kalcher","given":"Klaudius"},{"family":"Moser","given":"Ewald"},{"family":"Habel","given":"Ute"},{"family":"Gur","given":"Ruben C."},{"family":"Eickhoff","given":"Simon B."},{"family":"Derntl","given":"Birgit"}],"issued":{"date-parts":[["2016",7,1]]}}}],"schema":"https://github.com/citation-style-language/schema/raw/master/csl-citation.json"} </w:instrText>
      </w:r>
      <w:r w:rsidRPr="00C14DB6">
        <w:rPr>
          <w:b/>
        </w:rPr>
        <w:fldChar w:fldCharType="separate"/>
      </w:r>
      <w:r w:rsidRPr="00C14DB6">
        <w:t>[24]</w:t>
      </w:r>
      <w:r w:rsidRPr="00C14DB6">
        <w:rPr>
          <w:b/>
        </w:rPr>
        <w:fldChar w:fldCharType="end"/>
      </w:r>
      <w:r w:rsidRPr="00C14DB6">
        <w:t>. So far, to the best of our knowledge, no study specifically examined sex differences in rsFC in situations of social exclusion or achievement stress.</w:t>
      </w:r>
    </w:p>
    <w:p w14:paraId="37976922" w14:textId="77777777" w:rsidR="00B944B2" w:rsidRPr="00C14DB6" w:rsidRDefault="00B944B2" w:rsidP="00C14DB6">
      <w:pPr>
        <w:pStyle w:val="MDPI31text"/>
        <w:ind w:left="0"/>
        <w:rPr>
          <w:b/>
        </w:rPr>
      </w:pPr>
      <w:r w:rsidRPr="00C14DB6">
        <w:t xml:space="preserve">Taken together, previous studies indicate that amygdala-frontal neural networks seem to be modified by diverse stressors in specific manners and additionally are differently wired in females and males. With the current study, we set out to investigate the effect of sex and stressor-type on networks between the amygdala and frontal rsFC, following the assumption that the amygdala takes a crucial part in stress processing and interacts with the frontal cortex in terms of stress coping </w:t>
      </w:r>
      <w:r w:rsidRPr="00C14DB6">
        <w:rPr>
          <w:b/>
        </w:rPr>
        <w:fldChar w:fldCharType="begin"/>
      </w:r>
      <w:r w:rsidRPr="00C14DB6">
        <w:instrText xml:space="preserve"> ADDIN ZOTERO_ITEM CSL_CITATION {"citationID":"r0PiT0Xf","properties":{"formattedCitation":"[6]","plainCitation":"[6]","noteIndex":0},"citationItems":[{"id":522,"uris":["http://zotero.org/groups/4860232/items/SD9SHXA4"],"itemData":{"id":522,"type":"article-journal","abstract":"When confronted with stressful or emotionally arousing situations, regulatory abilities should allow us to adaptively cope. However, depressed individuals often have a low sense of perceived control and are characterized by a negative expectation bias regarding their ability to deal with future stressful events. Low expectancy concerning the ability to deal with future stressful events may result in less initiation of proactive control, a crucial mechanism of cognitive control reflecting sustained and anticipatory maintenance of goal-relevant information in the dorsolateral prefrontal cortex to optimize cognitive performance. In this theoretical review we integrate a diverse body of literature. We argue that the expectancy of an individual's regulatory abilities prior to the presentation of an arousing event or stressful task will be related to anticipation and proactive up- or downregulation of specific neurocircuits before the actual encounter with the stressful event occurs, in a manner that can be either adaptive or maladaptive. Moreover, we discuss the important role of self-esteem as well as the ability to accept the situation when coping is not possible. Our approach has implications for a broad range of disorders and conditions in which stress regulation plays a role, and can be used to guide the use of recently developed clinical interventions, as well as to fine-tune interventions to facilitate proactive control.","container-title":"Clinical Psychology Review","DOI":"10.1016/J.CPR.2016.03.005","ISSN":"0272-7358","note":"PMID: 27064551\npublisher: Pergamon","page":"45-55","title":"The role of expectancy and proactive control in stress regulation: A neurocognitive framework for regulation expectation","volume":"45","author":[{"family":"De Raedt","given":"Rudi"},{"family":"Hooley","given":"Jill M."}],"issued":{"date-parts":[["2016",4,1]]}}}],"schema":"https://github.com/citation-style-language/schema/raw/master/csl-citation.json"} </w:instrText>
      </w:r>
      <w:r w:rsidRPr="00C14DB6">
        <w:rPr>
          <w:b/>
        </w:rPr>
        <w:fldChar w:fldCharType="separate"/>
      </w:r>
      <w:r w:rsidRPr="00C14DB6">
        <w:t>[6]</w:t>
      </w:r>
      <w:r w:rsidRPr="00C14DB6">
        <w:rPr>
          <w:b/>
        </w:rPr>
        <w:fldChar w:fldCharType="end"/>
      </w:r>
      <w:r w:rsidRPr="00C14DB6">
        <w:t xml:space="preserve">. Thus, we compare amygdala-frontal rsFC before and after two different psychosocial stressors and additionally investigate sex differences. </w:t>
      </w:r>
      <w:bookmarkStart w:id="2" w:name="_Hlk103299174"/>
      <w:r w:rsidRPr="00C14DB6">
        <w:t xml:space="preserve">We hypothesise that both stressors affect amygdala-frontal rsFC, but differently in females and males. More specifically, we expect higher amygdala–mPFC rsFC in males than females in general </w:t>
      </w:r>
      <w:r w:rsidRPr="00C14DB6">
        <w:rPr>
          <w:b/>
        </w:rPr>
        <w:fldChar w:fldCharType="begin"/>
      </w:r>
      <w:r w:rsidRPr="00C14DB6">
        <w:instrText xml:space="preserve"> ADDIN ZOTERO_ITEM CSL_CITATION {"citationID":"CEjxTCAS","properties":{"formattedCitation":"[23]","plainCitation":"[23]","noteIndex":0},"citationItems":[{"id":488,"uris":["http://zotero.org/groups/4860232/items/PU6RUKPJ"],"itemData":{"id":488,"type":"article-journal","abstract":"The amygdala is a hub in emotional processing, including that of negative affect. Healthy men and women have distinct differences in amygdala responses, potentially setting the stage for the observed sex differences in the prevalence of fear, anxiety, and pain disorders. Here, we examined how amygdala subnuclei resting-state functional connectivity is affected by sex, as well as explored how the functional connectivity is related to estrogen levels. Resting-state functional connectivity was measured using functional magnetic resonance imaging (fMRI) with seeds placed in the left and right laterobasal (LB) and centromedial (CM) amygdala. Sex differences were studied in 48 healthy men and 48 healthy women, matched for age, while the association with estrogen was analyzed in a subsample of 24 women, for whom hormone levels had been assessed. For the hormone analyses, the subsample was further divided into a lower and higher estrogen levels group based on a median split. We found distinct sex differences in the LB and CM amygdala resting-state functional connectivity, as well as preliminary evidence for an association between estrogen levels and connectivity patterns. These results are potentially valuable in explaining why women are more afflicted by conditions of negative affect than are men, and could imply a mechanistic role for estrogen in modulating emotion.","container-title":"Psychoneuroendocrinology","DOI":"10.1016/J.PSYNEUEN.2015.09.012","ISSN":"0306-4530","note":"PMID: 26406106\npublisher: Pergamon","page":"34-42","title":"Amygdala subnuclei resting-state functional connectivity sex and estrogen differences","volume":"63","author":[{"family":"Engman","given":"Jonas"},{"family":"Linnman","given":"Clas"},{"family":"Van Dijk","given":"Koene R.A."},{"family":"Milad","given":"Mohammed R."}],"issued":{"date-parts":[["2016",1,1]]}}}],"schema":"https://github.com/citation-style-language/schema/raw/master/csl-citation.json"} </w:instrText>
      </w:r>
      <w:r w:rsidRPr="00C14DB6">
        <w:rPr>
          <w:b/>
        </w:rPr>
        <w:fldChar w:fldCharType="separate"/>
      </w:r>
      <w:r w:rsidRPr="00C14DB6">
        <w:t>[23]</w:t>
      </w:r>
      <w:r w:rsidRPr="00C14DB6">
        <w:rPr>
          <w:b/>
        </w:rPr>
        <w:fldChar w:fldCharType="end"/>
      </w:r>
      <w:r w:rsidRPr="00C14DB6">
        <w:t xml:space="preserve"> and an increase in rsFC pre- to post-stress at least in males </w:t>
      </w:r>
      <w:r w:rsidRPr="00C14DB6">
        <w:rPr>
          <w:b/>
        </w:rPr>
        <w:fldChar w:fldCharType="begin"/>
      </w:r>
      <w:r w:rsidRPr="00C14DB6">
        <w:instrText xml:space="preserve"> ADDIN ZOTERO_ITEM CSL_CITATION {"citationID":"r1RYsQjg","properties":{"formattedCitation":"[10,14]","plainCitation":"[10,14]","noteIndex":0},"citationItems":[{"id":483,"uris":["http://zotero.org/groups/4860232/items/WEUIMVAF"],"itemData":{"id":483,"type":"article-journal","abstract":"Whereas we know a fair amount on the role of the amygdala in the acute stress response, virtually nothing is known about its role during the recovery period after the stress has waned. Functional connectivity analysis of the amygdala during this period might be useful in revealing brain circuits promoting adaptive recovery from a stressful event, as well as consolidation of emotionally relevant information in preparing for future challenges.Healthy participants were randomly assigned to either a psychosocial stress task (n = 18; stress group) or a comparable non-stressful control procedure (n = 20; controls). To study the prolonged effects of stress on amygdala functional connectivity, resting-state fMRI scans were acquired an hour after the stress task. Amygdala functional connectivity with other brain regions was assessed using seed-based correlations.The stress group exhibited a strong physiological and behavioral reaction to psychosocial stress exposure. Compared with controls the stress group showed increased amygdala functional connectivity with three cortical midline structures: the posterior cingulate cortex and precuneus (p&lt;05, corrected), and the medial prefrontal cortex (p&lt;05, small volume corrected).An hour after psychosocial stress, changes in amygdala functional connectivity were detected with cortical midline structures involved in the processing and regulation of emotions, as well as autobiographical memory. It is hypothesized that these effects could relate to top-down control of the amygdala and consolidation of self-relevant information after a stressful event. These results on functional connectivity in the recovery phase after stress might provide an important new vantage point in studying both sensitivity and resilience to stress. © 2011 Elsevier Inc.","container-title":"NeuroImage","DOI":"10.1016/J.NEUROIMAGE.2011.05.074","ISSN":"10538119","issue":"4","note":"PMID: 21664280","page":"1534-1541","title":"Beyond acute social stress: Increased functional connectivity between amygdala and cortical midline structures","volume":"57","author":[{"family":"Veer","given":"Ilya M."},{"family":"Oei","given":"Nicole Y.L."},{"family":"Spinhoven","given":"Philip"},{"family":"Buchem","given":"Mark A.","non-dropping-particle":"van"},{"family":"Elzinga","given":"Bernet M."},{"family":"Rombouts","given":"Serge A.R.B."}],"issued":{"date-parts":[["2011",8,15]]}}},{"id":494,"uris":["http://zotero.org/groups/4860232/items/KAFW9Z67"],"itemData":{"id":494,"type":"article-journal","abstract":"Acute stress is associated with a sensitized amygdala. Corticosteroids, released in response to stress, are suggested to restore homeostasis by normalizing/desensitizing brain processing in the aftermath of stress. Here, we investigated the effects of corticosteroids on amygdala processing using functional magnetic resonance imaging. Since corticosteroids exert rapid nongenomic and slow genomic effects, we administered hydrocortisone either 75 min (rapid effects) or 285 min (slow effects) before scanning in a randomized, double-blind, placebo-controlled design. Seventy-two healthy males were scanned while viewing faces morphing from a neutral facial expression into fearful or happy expressions. Imaging results revealed that hydrocortisone desensitizes amygdala responsivity rapidly, while it selectively normalizes responses to negative stimuli slowly. Psychophysiological interaction analyses suggested that this slow normalization is related to an altered coupling of the amygdala with the medial prefrontal cortex. These results reveal a temporarily fine-tuned mechanism that is critical for avoiding amygdala overshoot during stress and enabling adequate recovery thereafter. Copyright © 2010 the authors.","container-title":"The Journal of neuroscience : the official journal of the Society for Neuroscience","DOI":"10.1523/JNEUROSCI.3112-10.2010","ISSN":"1529-2401","issue":"38","note":"PMID: 20861377\npublisher: J Neurosci","page":"12725-12732","title":"Time-dependent effects of corticosteroids on human amygdala processing","volume":"30","author":[{"family":"Henckens","given":"Marloes J.A.G."},{"family":"Van Wingen","given":"Guido A."},{"family":"Joëls","given":"Marian"},{"family":"Fernández","given":"Guillén"}],"issued":{"date-parts":[["2010",9,22]]}}}],"schema":"https://github.com/citation-style-language/schema/raw/master/csl-citation.json"} </w:instrText>
      </w:r>
      <w:r w:rsidRPr="00C14DB6">
        <w:rPr>
          <w:b/>
        </w:rPr>
        <w:fldChar w:fldCharType="separate"/>
      </w:r>
      <w:r w:rsidRPr="00C14DB6">
        <w:t>[10,14]</w:t>
      </w:r>
      <w:r w:rsidRPr="00C14DB6">
        <w:rPr>
          <w:b/>
        </w:rPr>
        <w:fldChar w:fldCharType="end"/>
      </w:r>
      <w:r w:rsidRPr="00C14DB6">
        <w:t xml:space="preserve">, while we cannot conclude anything on females, as this was not assessed in female participants so far. Due to task-related sex differences, with females being more affected by social exclusion </w:t>
      </w:r>
      <w:r w:rsidRPr="00C14DB6">
        <w:rPr>
          <w:b/>
        </w:rPr>
        <w:fldChar w:fldCharType="begin"/>
      </w:r>
      <w:r w:rsidRPr="00C14DB6">
        <w:instrText xml:space="preserve"> ADDIN ZOTERO_ITEM CSL_CITATION {"citationID":"baCb74lY","properties":{"formattedCitation":"[15]","plainCitation":"[15]","noteIndex":0},"citationItems":[{"id":505,"uris":["http://zotero.org/groups/4860232/items/YSKZ697I"],"itemData":{"id":505,"type":"article-journal","abstract":"Theory and research on sex differences in adjustment focus largely on parental, societal, and biological influences. However, it also is important to consider how peers contribute to girls' and boys' development. This article provides a critical review of sex differences in several peer relationship processes, including behavioral and social-cognitive styles, stress and coping, and relationship provisions. The authors present a speculative peer-socialization model based on this review in which the implications of these sex differences for girls' and boys' emotional and behavioral development are considered. Central to this model is the idea that sex-linked relationship processes have costs and benefits for girls' and boys' adjustment. Finally, the authors present recent research testing certain model components and propose approaches for testing understudied aspects of the model. Copyright 2006 by the American Psychological Association.","container-title":"Psychological bulletin","DOI":"10.1037/0033-2909.132.1.98","ISSN":"00332909","issue":"1","note":"PMID: 16435959\npublisher: NIH Public Access","page":"98","title":"A Review of Sex Differences in Peer Relationship Processes: Potential Trade-offs for the Emotional and Behavioral Development of Girls and Boys","volume":"132","author":[{"family":"Rose","given":"Amanda J."},{"family":"Rudolph","given":"Karen D."}],"issued":{"date-parts":[["2006",1]]}}}],"schema":"https://github.com/citation-style-language/schema/raw/master/csl-citation.json"} </w:instrText>
      </w:r>
      <w:r w:rsidRPr="00C14DB6">
        <w:rPr>
          <w:b/>
        </w:rPr>
        <w:fldChar w:fldCharType="separate"/>
      </w:r>
      <w:r w:rsidRPr="00C14DB6">
        <w:t>[15]</w:t>
      </w:r>
      <w:r w:rsidRPr="00C14DB6">
        <w:rPr>
          <w:b/>
        </w:rPr>
        <w:fldChar w:fldCharType="end"/>
      </w:r>
      <w:r w:rsidRPr="00C14DB6">
        <w:t xml:space="preserve"> and males by achievement stress </w:t>
      </w:r>
      <w:r w:rsidRPr="00C14DB6">
        <w:rPr>
          <w:b/>
        </w:rPr>
        <w:fldChar w:fldCharType="begin"/>
      </w:r>
      <w:r w:rsidRPr="00C14DB6">
        <w:instrText xml:space="preserve"> ADDIN ZOTERO_ITEM CSL_CITATION {"citationID":"xdKXdCuH","properties":{"formattedCitation":"[16]","plainCitation":"[16]","noteIndex":0},"citationItems":[{"id":519,"uris":["http://zotero.org/groups/4860232/items/CGB2TLNJ"],"itemData":{"id":519,"type":"article-journal","abstract":"Background: Sex differences in stress responses may be one mechanism underlying gender differences in depression. We hypothesized that men and women would show different adrenocortical responses to different stressors. In particular, we predicted that women would show greater responses to social rejection stressors, whereas men would demonstrate greater responses to achievement stressors. Methods: Following a rest session in which they habituated to the laboratory, 50 healthy volunteers (24 men and 26 women, mean age 19.1, SD = 1.13) were randomly assigned to achievement or rejection stress conditions. The achievement condition involved a mathematical and a verbal challenge; the rejection condition involved two social interaction challenges. Self-reported affect and salivary cortisol were measured throughout each stress session (baseline, stress, and poststress periods). Results: There were no sex differences in mood ratings following the stressors; however, cortisol responses showed the predicted gender by condition by time interaction. Men showed significantly greater cortisol responses to the achievement challenges, but women showed greater cortisol responses to the social rejection challenges. Conclusions: Women appear more physiologically reactive to social rejection challenges, but men react more to achievement challenges. Women's greater reactivity to rejection stress may contribute to the increased rates of affective disorders in women. © 2002 Society of Biological Psychiatry.","container-title":"Biological psychiatry","DOI":"10.1016/S0006-3223(02)01333-1","ISSN":"0006-3223","issue":"4","note":"PMID: 12208639\npublisher: Biol Psychiatry","page":"318-327","title":"Sex differences in stress responses: social rejection versus achievement stress","volume":"52","author":[{"family":"Stroud","given":"Laura R."},{"family":"Salovey","given":"Peter"},{"family":"Epel","given":"Elissa S."}],"issued":{"date-parts":[["2002",8,15]]}}}],"schema":"https://github.com/citation-style-language/schema/raw/master/csl-citation.json"} </w:instrText>
      </w:r>
      <w:r w:rsidRPr="00C14DB6">
        <w:rPr>
          <w:b/>
        </w:rPr>
        <w:fldChar w:fldCharType="separate"/>
      </w:r>
      <w:r w:rsidRPr="00C14DB6">
        <w:t>[16]</w:t>
      </w:r>
      <w:r w:rsidRPr="00C14DB6">
        <w:rPr>
          <w:b/>
        </w:rPr>
        <w:fldChar w:fldCharType="end"/>
      </w:r>
      <w:r w:rsidRPr="00C14DB6">
        <w:t xml:space="preserve">, we additionally expect sex differences in rsFC depending on stressor type. Additionally, we hypothesise that a stress-induced cortisol change is associated with an increase in amygdala–mPFC rsFC in both sexes </w:t>
      </w:r>
      <w:r w:rsidRPr="00C14DB6">
        <w:rPr>
          <w:b/>
        </w:rPr>
        <w:fldChar w:fldCharType="begin"/>
      </w:r>
      <w:r w:rsidRPr="00C14DB6">
        <w:instrText xml:space="preserve"> ADDIN ZOTERO_ITEM CSL_CITATION {"citationID":"UsRNwcYK","properties":{"formattedCitation":"[10,13]","plainCitation":"[10,13]","noteIndex":0},"citationItems":[{"id":483,"uris":["http://zotero.org/groups/4860232/items/WEUIMVAF"],"itemData":{"id":483,"type":"article-journal","abstract":"Whereas we know a fair amount on the role of the amygdala in the acute stress response, virtually nothing is known about its role during the recovery period after the stress has waned. Functional connectivity analysis of the amygdala during this period might be useful in revealing brain circuits promoting adaptive recovery from a stressful event, as well as consolidation of emotionally relevant information in preparing for future challenges.Healthy participants were randomly assigned to either a psychosocial stress task (n = 18; stress group) or a comparable non-stressful control procedure (n = 20; controls). To study the prolonged effects of stress on amygdala functional connectivity, resting-state fMRI scans were acquired an hour after the stress task. Amygdala functional connectivity with other brain regions was assessed using seed-based correlations.The stress group exhibited a strong physiological and behavioral reaction to psychosocial stress exposure. Compared with controls the stress group showed increased amygdala functional connectivity with three cortical midline structures: the posterior cingulate cortex and precuneus (p&lt;05, corrected), and the medial prefrontal cortex (p&lt;05, small volume corrected).An hour after psychosocial stress, changes in amygdala functional connectivity were detected with cortical midline structures involved in the processing and regulation of emotions, as well as autobiographical memory. It is hypothesized that these effects could relate to top-down control of the amygdala and consolidation of self-relevant information after a stressful event. These results on functional connectivity in the recovery phase after stress might provide an important new vantage point in studying both sensitivity and resilience to stress. © 2011 Elsevier Inc.","container-title":"NeuroImage","DOI":"10.1016/J.NEUROIMAGE.2011.05.074","ISSN":"10538119","issue":"4","note":"PMID: 21664280","page":"1534-1541","title":"Beyond acute social stress: Increased functional connectivity between amygdala and cortical midline structures","volume":"57","author":[{"family":"Veer","given":"Ilya M."},{"family":"Oei","given":"Nicole Y.L."},{"family":"Spinhoven","given":"Philip"},{"family":"Buchem","given":"Mark A.","non-dropping-particle":"van"},{"family":"Elzinga","given":"Bernet M."},{"family":"Rombouts","given":"Serge A.R.B."}],"issued":{"date-parts":[["2011",8,15]]}}},{"id":495,"uris":["http://zotero.org/groups/4860232/items/3FF6I5XL"],"itemData":{"id":495,"type":"article-journal","abstract":"Stress-induced changes in functional brain connectivity have been linked to the etiology of stress-related disorders. Resting state functional connectivity (rsFC) is especially informative in characterizing the temporal trajectory of glucocorticoids during stress adaptation. Using the imaging Maastricht Acute Stress Test (iMAST), we induced acute stress in 39 healthy volunteers and monitored the neuroendocrine stress levels during three runs of resting state functional magnetic resonance imaging (rs-fMRI): before (run 1), immediately following (run 2), and 30min after acute stress (run 3). The iMAST resulted in strong increases in cortisol levels. Whole-brain analysis revealed that acute stress (run 2 - 1) was characterized by changes in connectivity of the amygdala with the ventrolateral prefrontal cortex (vlPFC), ventral posterior cingulate cortex (PCC), cuneus, parahippocampal gyrus, and culmen. Additionally, cortisol responders were characterized by enhanced amygdala - medial prefrontal cortex (mPFC) connectivity. Stress recovery (run 3 - 2) was characterized by altered amygdala connectivity with the dorsolateral prefrontal cortex (dlPFC), ventral and dorsal anterior cingulate cortex (ACC), anterior hippocampal complex, cuneus, and presupplementary motor area (preSMA). Opposite to non-responders, cortisol responders were characterized by enhanced amygdala connectivity with the anterior hippocampal complex and parahippocampal gyrus, and reduced connectivity with left dlPFC, dACC, and culmen during early recovery. Acute stress responding and recovery are thus associated with changes in the functional connectivity of the amygdala network. Our findings show that these changes may be regulated via stress-induced neuroendocrine levels. Defining stress-induced neuronal network changes is pertinent to developing treatments that target abnormal neuronal activity.","container-title":"PloS one","DOI":"10.1371/JOURNAL.PONE.0124141","ISSN":"1932-6203","issue":"5","note":"PMID: 25946334\npublisher: PLoS One","title":"Temporal dynamics of stress-induced alternations of intrinsic amygdala connectivity and neuroendocrine levels","URL":"https://pubmed.ncbi.nlm.nih.gov/25946334/","volume":"10","author":[{"family":"Quaedflieg","given":"C. W.E.M."},{"family":"Van De Ven","given":"V."},{"family":"Meyer","given":"T."},{"family":"Siep","given":"N."},{"family":"Merckelbach","given":"H."},{"family":"Smeets","given":"T."}],"accessed":{"date-parts":[["2022",2,17]]},"issued":{"date-parts":[["2015",5,6]]}}}],"schema":"https://github.com/citation-style-language/schema/raw/master/csl-citation.json"} </w:instrText>
      </w:r>
      <w:r w:rsidRPr="00C14DB6">
        <w:rPr>
          <w:b/>
        </w:rPr>
        <w:fldChar w:fldCharType="separate"/>
      </w:r>
      <w:r w:rsidRPr="00C14DB6">
        <w:t>[10,13]</w:t>
      </w:r>
      <w:r w:rsidRPr="00C14DB6">
        <w:rPr>
          <w:b/>
        </w:rPr>
        <w:fldChar w:fldCharType="end"/>
      </w:r>
      <w:r w:rsidRPr="00C14DB6">
        <w:t xml:space="preserve"> and a decrease in amygdala–dlPFC and amygdala-vACC rsFC especially in females </w:t>
      </w:r>
      <w:r w:rsidRPr="00C14DB6">
        <w:rPr>
          <w:b/>
        </w:rPr>
        <w:fldChar w:fldCharType="begin"/>
      </w:r>
      <w:r w:rsidRPr="00C14DB6">
        <w:instrText xml:space="preserve"> ADDIN ZOTERO_ITEM CSL_CITATION {"citationID":"URtD6ZJQ","properties":{"formattedCitation":"[24]","plainCitation":"[24]","noteIndex":0},"citationItems":[{"id":509,"uris":["http://zotero.org/groups/4860232/items/9F9UT7X4"],"itemData":{"id":509,"type":"article-journal","abstract":"Human amygdalae are involved in various behavioral functions such as affective and stress processing. For these behavioral functions, as well as for psychophysiological arousal including cortisol release, sex differences are reported.Here, we assessed cortisol levels and resting-state functional connectivity (rsFC) of left and right amygdalae in 81 healthy participants (42 women) to investigate potential modulation of amygdala rsFC by sex and cortisol concentration.Our analyses revealed that rsFC of the left amygdala significantly differed between women and men: Women showed stronger rsFC than men between the left amygdala and left middle temporal gyrus, inferior frontal gyrus, postcentral gyrus and hippocampus, regions involved in face processing, inner-speech, fear and pain processing. No stronger connections were detected for men and no sex difference emerged for right amygdala rsFC. Also, an interaction of sex and cortisol appeared: In women, cortisol was negatively associated with rsFC of the amygdalae with striatal regions, mid-orbital frontal gyrus, anterior cingulate gyrus, middle and superior frontal gyri, supplementary motor area and the parietal-occipital sulcus. Contrarily in men, positive associations of cortisol with rsFC of the left amygdala and these structures were observed. Functional decoding analyses revealed an association of the amygdalae and these regions with emotion, reward and memory processing, as well as action execution.Our results suggest that functional connectivity of the amygdalae as well as the regulatory effect of cortisol on brain networks differs between women and men. These sex-differences and the mediating and sex-dependent effect of cortisol on brain communication systems should be taken into account in affective and stress-related neuroimaging research. Thus, more studies including both sexes are required.","container-title":"NeuroImage","DOI":"10.1016/J.NEUROIMAGE.2016.03.064","ISSN":"1095-9572","note":"PMID: 27039701\npublisher: Neuroimage","page":"410-423","title":"Sex differences in the functional connectivity of the amygdalae in association with cortisol","volume":"134","author":[{"family":"Kogler","given":"Lydia"},{"family":"Müller","given":"Veronika I."},{"family":"Seidel","given":"Eva Maria"},{"family":"Boubela","given":"Roland"},{"family":"Kalcher","given":"Klaudius"},{"family":"Moser","given":"Ewald"},{"family":"Habel","given":"Ute"},{"family":"Gur","given":"Ruben C."},{"family":"Eickhoff","given":"Simon B."},{"family":"Derntl","given":"Birgit"}],"issued":{"date-parts":[["2016",7,1]]}}}],"schema":"https://github.com/citation-style-language/schema/raw/master/csl-citation.json"} </w:instrText>
      </w:r>
      <w:r w:rsidRPr="00C14DB6">
        <w:rPr>
          <w:b/>
        </w:rPr>
        <w:fldChar w:fldCharType="separate"/>
      </w:r>
      <w:r w:rsidRPr="00C14DB6">
        <w:t>[24]</w:t>
      </w:r>
      <w:r w:rsidRPr="00C14DB6">
        <w:rPr>
          <w:b/>
        </w:rPr>
        <w:fldChar w:fldCharType="end"/>
      </w:r>
      <w:r w:rsidRPr="00C14DB6">
        <w:t>.</w:t>
      </w:r>
      <w:bookmarkEnd w:id="2"/>
    </w:p>
    <w:p w14:paraId="46A910F9" w14:textId="7D2E78E9" w:rsidR="00B944B2" w:rsidRPr="00C14DB6" w:rsidRDefault="004F33C9" w:rsidP="00C14DB6">
      <w:pPr>
        <w:pStyle w:val="MDPI21heading1"/>
        <w:ind w:left="0"/>
      </w:pPr>
      <w:r w:rsidRPr="00C14DB6">
        <w:rPr>
          <w:lang w:eastAsia="zh-CN"/>
        </w:rPr>
        <w:lastRenderedPageBreak/>
        <w:t xml:space="preserve">2. </w:t>
      </w:r>
      <w:r w:rsidR="00B944B2" w:rsidRPr="00C14DB6">
        <w:t>Materials and Methods</w:t>
      </w:r>
    </w:p>
    <w:p w14:paraId="5EFCEF35" w14:textId="656079FE" w:rsidR="00B944B2" w:rsidRPr="00C14DB6" w:rsidRDefault="004F33C9" w:rsidP="00C14DB6">
      <w:pPr>
        <w:pStyle w:val="MDPI22heading2"/>
        <w:ind w:left="0"/>
        <w:rPr>
          <w:noProof w:val="0"/>
        </w:rPr>
      </w:pPr>
      <w:r w:rsidRPr="00C14DB6">
        <w:rPr>
          <w:noProof w:val="0"/>
        </w:rPr>
        <w:t xml:space="preserve">2.1. </w:t>
      </w:r>
      <w:r w:rsidR="00B944B2" w:rsidRPr="00C14DB6">
        <w:rPr>
          <w:noProof w:val="0"/>
        </w:rPr>
        <w:t>Sample</w:t>
      </w:r>
    </w:p>
    <w:p w14:paraId="28719A6C" w14:textId="77777777" w:rsidR="00B944B2" w:rsidRPr="00C14DB6" w:rsidRDefault="00B944B2" w:rsidP="00C14DB6">
      <w:pPr>
        <w:pStyle w:val="MDPI31text"/>
        <w:ind w:left="0"/>
        <w:rPr>
          <w:i/>
        </w:rPr>
      </w:pPr>
      <w:r w:rsidRPr="00C14DB6">
        <w:t xml:space="preserve">For this study, 77 healthy, non-smoking, right-handed university students (40 females) were included. Sample size was calculated using G*Power </w:t>
      </w:r>
      <w:r w:rsidRPr="00C14DB6">
        <w:rPr>
          <w:i/>
        </w:rPr>
        <w:fldChar w:fldCharType="begin"/>
      </w:r>
      <w:r w:rsidRPr="00C14DB6">
        <w:instrText xml:space="preserve"> ADDIN ZOTERO_ITEM CSL_CITATION {"citationID":"9pXq81MD","properties":{"formattedCitation":"[25]","plainCitation":"[25]","noteIndex":0},"citationItems":[{"id":808,"uris":["http://zotero.org/groups/4860232/items/F9C2NDC8"],"itemData":{"id":808,"type":"article-journal","abstract":"G*Power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 t, F, and chi2 test families. In addition, it includes power analyses for z tests and some exact tests. G*Power 3 provides improved effect size calculators and graphic options, supports both distribution-based and design-based input modes, and offers all types of power analyses in which users might be interested. Like its predecessors, G*Power 3 is free.","container-title":"Behavior Research Methods","DOI":"10.3758/bf03193146","ISSN":"1554-351X","issue":"2","journalAbbreviation":"Behav Res Methods","language":"eng","note":"PMID: 17695343","page":"175-191","source":"PubMed","title":"G*Power 3: a flexible statistical power analysis program for the social, behavioral, and biomedical sciences","title-short":"G*Power 3","volume":"39","author":[{"family":"Faul","given":"Franz"},{"family":"Erdfelder","given":"Edgar"},{"family":"Lang","given":"Albert-Georg"},{"family":"Buchner","given":"Axel"}],"issued":{"date-parts":[["2007",5]]}}}],"schema":"https://github.com/citation-style-language/schema/raw/master/csl-citation.json"} </w:instrText>
      </w:r>
      <w:r w:rsidRPr="00C14DB6">
        <w:rPr>
          <w:i/>
        </w:rPr>
        <w:fldChar w:fldCharType="separate"/>
      </w:r>
      <w:r w:rsidRPr="00C14DB6">
        <w:t>[25]</w:t>
      </w:r>
      <w:r w:rsidRPr="00C14DB6">
        <w:rPr>
          <w:i/>
        </w:rPr>
        <w:fldChar w:fldCharType="end"/>
      </w:r>
      <w:r w:rsidRPr="00C14DB6">
        <w:t xml:space="preserve"> (alpha error rate 0.05, power 0.95, f=0.18), which calculates a total sample size of n=68 for a repeated-measurements, within-between-subjects-design. Considering dropouts, we targeted to include 80 participants, 40 females and 40 males, in the study. Recruitment was done through advertisements posted at the Medical University of Vienna and the University of Vienna, Austria, as well as through various online student platforms. Psychology students were excluded due to their potential familiarity with the stress induction tasks. Exclusion criteria were a history of neurological or mental disorders (assessed via a structured clinical interview, SCID, </w:t>
      </w:r>
      <w:r w:rsidRPr="00C14DB6">
        <w:rPr>
          <w:i/>
        </w:rPr>
        <w:fldChar w:fldCharType="begin"/>
      </w:r>
      <w:r w:rsidRPr="00C14DB6">
        <w:instrText xml:space="preserve"> ADDIN ZOTERO_ITEM CSL_CITATION {"citationID":"oqLnhURJ","properties":{"formattedCitation":"[26]","plainCitation":"[26]","noteIndex":0},"citationItems":[{"id":456,"uris":["http://zotero.org/groups/4860232/items/4KVDRRHW"],"itemData":{"id":456,"type":"article-journal","title":"Skid i. Strukturiertes klinisches interview für dsm-iv. Achse i: psychische störungen. Interviewheft und beurteilungsheft. Eine deutschsprachige, erweiterte","URL":"https://pure.mpg.de/pubman/faces/ViewItemOverviewPage.jsp?itemId=item_1646480","author":[{"family":"Wittchen","given":"HU"},{"family":"Wunderlich","given":"U"},{"family":"Gruschwitz","given":"S"},{"family":"Zaudig","given":"M"}],"accessed":{"date-parts":[["2022",4,7]]},"issued":{"date-parts":[["1997"]]}}}],"schema":"https://github.com/citation-style-language/schema/raw/master/csl-citation.json"} </w:instrText>
      </w:r>
      <w:r w:rsidRPr="00C14DB6">
        <w:rPr>
          <w:i/>
        </w:rPr>
        <w:fldChar w:fldCharType="separate"/>
      </w:r>
      <w:r w:rsidRPr="00C14DB6">
        <w:t>[26]</w:t>
      </w:r>
      <w:r w:rsidRPr="00C14DB6">
        <w:rPr>
          <w:i/>
        </w:rPr>
        <w:fldChar w:fldCharType="end"/>
      </w:r>
      <w:r w:rsidRPr="00C14DB6">
        <w:t xml:space="preserve">), chronic illnesses, drug or hormone intake including hormonal contraception, alcohol abuse or addiction, working night shifts, engaging in competitive sports, recent or current pregnancy, premenstrual dysphoric disorder, allergic asthma, and MRI incompatibility (i.e., metal parts in the body, etc.). Participants were asked to refrain from alcohol consumption and exercise 24hrs prior to testing, medication, caffeine, and drug intake on the day itself, as well as food or drink intake (except water) two hours before arriving at the lab. We included female participants over the whole menstrual cycle to include a variety of female hormonal profiles. Cycle phase was assessed through documentation of the previous three cycle phases and confirmed via baseline measurements of estradiol and progesterone with saliva samples on the day of testing. Females and males were matched for age. </w:t>
      </w:r>
    </w:p>
    <w:p w14:paraId="293DF6BB" w14:textId="77777777" w:rsidR="00B944B2" w:rsidRPr="00C14DB6" w:rsidRDefault="00B944B2" w:rsidP="00C14DB6">
      <w:pPr>
        <w:pStyle w:val="MDPI31text"/>
        <w:ind w:left="0"/>
        <w:rPr>
          <w:i/>
        </w:rPr>
      </w:pPr>
      <w:r w:rsidRPr="00C14DB6">
        <w:t xml:space="preserve">Written informed consent was obtained from all participants and the study was approved by the Institutional Review Board of the Medical University of Vienna. All participants were treated according to the Declaration of Helsinki (1964). At the end of the test day, participants were fully briefed on the aims of the study and received financial compensation. </w:t>
      </w:r>
    </w:p>
    <w:p w14:paraId="492F2113" w14:textId="15B19BE4" w:rsidR="00B944B2" w:rsidRPr="00C14DB6" w:rsidRDefault="004F33C9" w:rsidP="00C14DB6">
      <w:pPr>
        <w:pStyle w:val="MDPI22heading2"/>
        <w:spacing w:before="240"/>
        <w:ind w:left="0"/>
        <w:rPr>
          <w:noProof w:val="0"/>
        </w:rPr>
      </w:pPr>
      <w:r w:rsidRPr="00C14DB6">
        <w:rPr>
          <w:noProof w:val="0"/>
        </w:rPr>
        <w:t xml:space="preserve">2.2. </w:t>
      </w:r>
      <w:r w:rsidR="00B944B2" w:rsidRPr="00C14DB6">
        <w:rPr>
          <w:noProof w:val="0"/>
        </w:rPr>
        <w:t>Procedure</w:t>
      </w:r>
    </w:p>
    <w:p w14:paraId="3014B822" w14:textId="77777777" w:rsidR="00B944B2" w:rsidRPr="00C14DB6" w:rsidRDefault="00B944B2" w:rsidP="00C14DB6">
      <w:pPr>
        <w:pStyle w:val="MDPI31text"/>
        <w:ind w:left="0"/>
      </w:pPr>
      <w:r w:rsidRPr="00C14DB6">
        <w:t xml:space="preserve">All measurements were done at the MR Centre of Excellence at the Medical University of Vienna, Austria, between 1:30pm and 6:30pm to control for circadian hormone rhythms. After arrival, participants received detailed instructions, filled in questionnaires pertaining to social demographics (i.e. sex, age, education status), verbal intelligence (Mehrfachwortschatztest-B, MWTB, </w:t>
      </w:r>
      <w:r w:rsidRPr="00C14DB6">
        <w:fldChar w:fldCharType="begin"/>
      </w:r>
      <w:r w:rsidRPr="00C14DB6">
        <w:instrText xml:space="preserve"> ADDIN ZOTERO_ITEM CSL_CITATION {"citationID":"SdI0xZuf","properties":{"formattedCitation":"[27]","plainCitation":"[27]","noteIndex":0},"citationItems":[{"id":452,"uris":["http://zotero.org/groups/4860232/items/5NWUWAN8"],"itemData":{"id":452,"type":"article-journal","container-title":"Psychiatrie, Neurologie, und medizinische Psychologie","issue":"7","page":"423-428","title":"MWT-B--ein Intelligenzkurztest [The multiple selection vocabulary test (MSVT-B)--an accelerated intelligence test].","volume":"27","author":[{"family":"Merz","given":"J"},{"family":"Lehrl","given":"S"},{"family":"Galster","given":"V"},{"family":"Erzigkeit","given":"H."}],"issued":{"date-parts":[["1975"]]}}}],"schema":"https://github.com/citation-style-language/schema/raw/master/csl-citation.json"} </w:instrText>
      </w:r>
      <w:r w:rsidRPr="00C14DB6">
        <w:fldChar w:fldCharType="separate"/>
      </w:r>
      <w:r w:rsidRPr="00C14DB6">
        <w:t>[27]</w:t>
      </w:r>
      <w:r w:rsidRPr="00C14DB6">
        <w:fldChar w:fldCharType="end"/>
      </w:r>
      <w:r w:rsidRPr="00C14DB6">
        <w:t xml:space="preserve">), social support in the last 10 days, rejection sensitivity (Rejection Sensitivity Questionnaire, RSQ, </w:t>
      </w:r>
      <w:r w:rsidRPr="00C14DB6">
        <w:fldChar w:fldCharType="begin"/>
      </w:r>
      <w:r w:rsidRPr="00C14DB6">
        <w:instrText xml:space="preserve"> ADDIN ZOTERO_ITEM CSL_CITATION {"citationID":"kP3ZXH0i","properties":{"formattedCitation":"[28]","plainCitation":"[28]","noteIndex":0},"citationItems":[{"id":445,"uris":["http://zotero.org/groups/4860232/items/52YFYKDC"],"itemData":{"id":445,"type":"article-journal","abstract":"Two studies tested the hypothesis that Rejection Sensitivity (RS) increases vulnerability to disruption of attention by social threat cues, as would be consistent with prior evidence that it motivates individuals to prioritize detecting and managing potential rejection at a cost to other personal and interpersonal goals. In Study 1, RS predicted disruption of ongoing goal-directed attention by social threat but not negative words in an Emotional Stroop task. In Study 2, RS predicted attentional avoidance of threatening but not pleasant faces in a Visual Probe task. Threat-avoidant attention was also associated with features of borderline personality disorder. This research extends understanding of processes by which RS contributes to a self-perpetuating cycle of interpersonal problems and distress. © 2009 Elsevier Inc.","container-title":"Journal of research in personality","DOI":"10.1016/J.JRP.2009.07.007","ISSN":"0092-6566","issue":"6","note":"PMID: 20160869\npublisher: J Res Pers","page":"1064-1072","title":"Rejection sensitivity and disruption of attention by social threat cues","volume":"43","author":[{"family":"Berenson","given":"Kathy R."},{"family":"Gyurak","given":"Anett"},{"family":"Ayduk","given":"Özlem"},{"family":"Downey","given":"Geraldine"},{"family":"Garner","given":"Matthew J."},{"family":"Mogg","given":"Karin"},{"family":"Bradley","given":"Brendan P."},{"family":"Pine","given":"Daniel S."}],"issued":{"date-parts":[["2009",12]]}}}],"schema":"https://github.com/citation-style-language/schema/raw/master/csl-citation.json"} </w:instrText>
      </w:r>
      <w:r w:rsidRPr="00C14DB6">
        <w:fldChar w:fldCharType="separate"/>
      </w:r>
      <w:r w:rsidRPr="00C14DB6">
        <w:t>[28]</w:t>
      </w:r>
      <w:r w:rsidRPr="00C14DB6">
        <w:fldChar w:fldCharType="end"/>
      </w:r>
      <w:r w:rsidRPr="00C14DB6">
        <w:t xml:space="preserve">), stress coping (Stressverarbeitungs-Fragebogen, SVF, </w:t>
      </w:r>
      <w:r w:rsidRPr="00C14DB6">
        <w:fldChar w:fldCharType="begin"/>
      </w:r>
      <w:r w:rsidRPr="00C14DB6">
        <w:instrText xml:space="preserve"> ADDIN ZOTERO_ITEM CSL_CITATION {"citationID":"030zUdeD","properties":{"formattedCitation":"[29]","plainCitation":"[29]","noteIndex":0},"citationItems":[{"id":450,"uris":["http://zotero.org/groups/4860232/items/DC6FQ4A8"],"itemData":{"id":450,"type":"book","publisher":"Verlag für Psychologie Hogrefe","title":"Stressverarbeitungsfragebogen:(SVF)","author":[{"family":"Janke","given":"Wilhelm"},{"family":"Erdmann","given":"Gisela"},{"family":"Boucsein","given":"Wolfram"}],"issued":{"date-parts":[["1985"]]}}}],"schema":"https://github.com/citation-style-language/schema/raw/master/csl-citation.json"} </w:instrText>
      </w:r>
      <w:r w:rsidRPr="00C14DB6">
        <w:fldChar w:fldCharType="separate"/>
      </w:r>
      <w:r w:rsidRPr="00C14DB6">
        <w:t>[29]</w:t>
      </w:r>
      <w:r w:rsidRPr="00C14DB6">
        <w:fldChar w:fldCharType="end"/>
      </w:r>
      <w:r w:rsidRPr="00C14DB6">
        <w:t xml:space="preserve">), and subjective ratings (positive and negative affect scale, PANAS, </w:t>
      </w:r>
      <w:r w:rsidRPr="00C14DB6">
        <w:fldChar w:fldCharType="begin"/>
      </w:r>
      <w:r w:rsidRPr="00C14DB6">
        <w:instrText xml:space="preserve"> ADDIN ZOTERO_ITEM CSL_CITATION {"citationID":"zCLfDc3a","properties":{"formattedCitation":"[30]","plainCitation":"[30]","noteIndex":0},"citationItems":[{"id":453,"uris":["http://zotero.org/groups/4860232/items/L9JZL7MZ"],"itemData":{"id":453,"type":"article-journal","container-title":"researchgate.net","DOI":"10.1037/t49650-000","title":"Untersuchungen mit einer deutschen version der\" positive and negative affect schedule\"(PANAS)","author":[{"family":"Krohne","given":"Heinz Walter"},{"family":"Egloff","given":"Boris"},{"family":"Kohlmann","given":"Carl-Walter"},{"family":"Tausch","given":"Anja"}],"accessed":{"date-parts":[["2022",4,7]]},"issued":{"date-parts":[["2014"]]}}}],"schema":"https://github.com/citation-style-language/schema/raw/master/csl-citation.json"} </w:instrText>
      </w:r>
      <w:r w:rsidRPr="00C14DB6">
        <w:fldChar w:fldCharType="separate"/>
      </w:r>
      <w:r w:rsidRPr="00C14DB6">
        <w:t>[30]</w:t>
      </w:r>
      <w:r w:rsidRPr="00C14DB6">
        <w:fldChar w:fldCharType="end"/>
      </w:r>
      <w:r w:rsidRPr="00C14DB6">
        <w:t xml:space="preserve">; emotional self-rating, ESR, </w:t>
      </w:r>
      <w:r w:rsidRPr="00C14DB6">
        <w:fldChar w:fldCharType="begin"/>
      </w:r>
      <w:r w:rsidRPr="00C14DB6">
        <w:instrText xml:space="preserve"> ADDIN ZOTERO_ITEM CSL_CITATION {"citationID":"TIE6PnTF","properties":{"formattedCitation":"[31]","plainCitation":"[31]","noteIndex":0},"citationItems":[{"id":449,"uris":["http://zotero.org/groups/4860232/items/FM55MWJH"],"itemData":{"id":449,"type":"article-journal","abstract":"The feasibility of applying ecologically valid and socially relevant emotional stimuli in a standardized fashion to obtain reliable mood changes in healthy subjects was examined. The stimuli consisted of happy and sad facial expressions varying in intensity. Two mood-induction procedures (happy and sad, each consisting of 40 slides) were administered to 24 young healthy subjects, who were instructed to look at each slide (self-paced) and try to feel the happy or sad mood expressed by the person in the picture. On an emotional self-rating scale, subjects rated themselves as relatively happier during the happy mood- induction condition and as relatively sadder during the sad mood-induction condition. Conversely, they reported that they were less happy during the sad mood-induction condition and less sad during the happy mood-induction condition. The effects were generalized to positive and negative affect as measured by the Positive and Negative Affect Scale. The intraindividual variability in the effect was very small. In a retest study after 1 month, the mood-induction effects showed good stability over time. The results encourage the use of this mood-induction procedure as a neurobehavioral probe in physiologic neuroimaging studies for investigating the neural substrates of emotional experience. © 1994.","container-title":"Psychiatry Research","DOI":"10.1016/0165-1781(94)90044-2","ISSN":"0165-1781","issue":"1","note":"PMID: 8197269\npublisher: Elsevier","page":"19-31","title":"Standardized mood induction with happy and sad facial expressions","volume":"51","author":[{"family":"Schneider","given":"Frank"},{"family":"Gur","given":"Ruben C."},{"family":"Gur","given":"Raquel E."},{"family":"Muenz","given":"Larry R."}],"issued":{"date-parts":[["1994",1,1]]}}}],"schema":"https://github.com/citation-style-language/schema/raw/master/csl-citation.json"} </w:instrText>
      </w:r>
      <w:r w:rsidRPr="00C14DB6">
        <w:fldChar w:fldCharType="separate"/>
      </w:r>
      <w:r w:rsidRPr="00C14DB6">
        <w:t>[31]</w:t>
      </w:r>
      <w:r w:rsidRPr="00C14DB6">
        <w:fldChar w:fldCharType="end"/>
      </w:r>
      <w:r w:rsidRPr="00C14DB6">
        <w:t xml:space="preserve">). Figure 1 illustrates the procedure of fMRI and saliva sample data collection. </w:t>
      </w:r>
    </w:p>
    <w:p w14:paraId="6F6222CE" w14:textId="6C2EA874" w:rsidR="00B944B2" w:rsidRPr="00C14DB6" w:rsidRDefault="00B944B2" w:rsidP="00C14DB6">
      <w:pPr>
        <w:pStyle w:val="MDPI31text"/>
        <w:ind w:left="0"/>
      </w:pPr>
      <w:r w:rsidRPr="00C14DB6">
        <w:t xml:space="preserve">First, participants provided a first saliva sample for hormone analysis (T0; approximately 15min after arrival and before scanner entry) to analyse estradiol, progesterone, testosterone, and cortisol. Participants then underwent two fMRI sessions, with two separate tasks (achievement stress and social exclusion, described below in more detail and see also </w:t>
      </w:r>
      <w:r w:rsidRPr="00C14DB6">
        <w:fldChar w:fldCharType="begin"/>
      </w:r>
      <w:r w:rsidRPr="00C14DB6">
        <w:instrText xml:space="preserve"> ADDIN ZOTERO_ITEM CSL_CITATION {"citationID":"3scSupO0","properties":{"formattedCitation":"[32,33]","plainCitation":"[32,33]","noteIndex":0},"citationItems":[{"id":508,"uris":["http://zotero.org/groups/4860232/items/92VZTQ57"],"itemData":{"id":508,"type":"article-journal","abstract":"Positive self-evaluation is a major psychological resource modulating stress coping behavior. Sex differences have been reported in self-esteem as well as stress reactions, but so far their interactions have not been investigated. Therefore, we investigated sex-specific associations of self-esteem and stress reaction on behavioral, hormonal and neural levels. We applied a commonly used fMRI-stress task in 80 healthy participants. Men compared to women showed higher activation during stress in hippocampus, precuneus, superior temporal gyrus (STG) and insula. Furthermore, men outperformed women in the stress task and had higher cortisol and testosterone levels than women after stress. Self-esteem had an impact on precuneus, insula and STG activation during stress across the whole group. During stress, men recruit regions associated with emotion and stress regulation, self-referential processing and cognitive control more strongly than women. Self-esteem affects stress processing, however in a sex-independent fashion: participants with lower self-esteem show higher activation of regions involved in emotion and stress regulation, self-referential processing and cognitive control. Taken together, our data suggest that men are more engaged during the applied stress task. Across women and men, lower self-esteem increases the effort in emotion and stress processing and cognitive control, possibly leading to self-related thoughts in stressful situations.","container-title":"Scientific reports","DOI":"10.1038/S41598-017-17485-W","ISSN":"2045-2322","issue":"1","note":"PMID: 29222516\npublisher: Sci Rep","title":"Impact of self-esteem and sex on stress reactions","URL":"https://pubmed.ncbi.nlm.nih.gov/29222516/","volume":"7","author":[{"family":"Kogler","given":"Lydia"},{"family":"Seidel","given":"Eva Maria"},{"family":"Metzler","given":"Hannah"},{"family":"Thaler","given":"Hanna"},{"family":"Boubela","given":"Roland N."},{"family":"Pruessner","given":"Jens C."},{"family":"Kryspin-Exner","given":"Ilse"},{"family":"Gur","given":"Ruben C."},{"family":"Windischberger","given":"Christian"},{"family":"Moser","given":"Ewald"},{"family":"Habel","given":"Ute"},{"family":"Derntl","given":"Birgit"}],"accessed":{"date-parts":[["2022",2,1]]},"issued":{"date-parts":[["2017",12,1]]}}},{"id":514,"uris":["http://zotero.org/groups/4860232/items/UBH43276"],"itemData":{"id":514,"type":"article-journal","abstract":"Social exclusion is a complex phenomenon, with wide-ranging immediate and delayed effects on well-being, hormone levels, brain activation and motivational behavior. Building upon previous work, the current fMRI study investigated affective, endocrine and neural responses to social exclusion in a more naturalistic Cyberball task in 40 males and 40 females. As expected, social exclusion elicited well-documented affective and neural responses, i.e., increased anger and distress, as well as increased exclusion-related activation of the anterior insula, the posterior-medial frontal cortex and the orbitofrontal cortex. Cortisol and testosterone decreased over the course of the experiment, whereas progesterone showed no changes. Hormone levels were not correlated with subjective affect, but they were related to exclusion-induced neural responses. Exclusion-related activation in frontal areas was associated with decreases in cortisol and increases in testosterone until recovery. Given that results were largely independent of sex, the current findings have important implications regarding between-sex vs. within-sex variations and the conceptualization of state vs. trait neuroendocrine functions in social neuroscience.","container-title":"Psychoneuroendocrinology","DOI":"10.1016/J.PSYNEUEN.2018.04.005","ISSN":"0306-4530","note":"PMID: 29702443\npublisher: Pergamon","page":"56-64","title":"Immediate and delayed neuroendocrine responses to social exclusion in males and females","volume":"93","author":[{"family":"Radke","given":"S."},{"family":"Seidel","given":"E. M."},{"family":"Boubela","given":"R. N."},{"family":"Thaler","given":"H."},{"family":"Metzler","given":"H."},{"family":"Kryspin-Exner","given":"I."},{"family":"Moser","given":"E."},{"family":"Habel","given":"U."},{"family":"Derntl","given":"B."}],"issued":{"date-parts":[["2018",7,1]]}}}],"schema":"https://github.com/citation-style-language/schema/raw/master/csl-citation.json"} </w:instrText>
      </w:r>
      <w:r w:rsidRPr="00C14DB6">
        <w:fldChar w:fldCharType="separate"/>
      </w:r>
      <w:r w:rsidRPr="00C14DB6">
        <w:t>[32,33]</w:t>
      </w:r>
      <w:r w:rsidRPr="00C14DB6">
        <w:fldChar w:fldCharType="end"/>
      </w:r>
      <w:r w:rsidRPr="00C14DB6">
        <w:t>) applied in a randomised order across participants. Before and after each task, a resting-state (rs) scan was conducted (i.e., four rs-scans in total; Figure 1). Anatomical images were assessed at the beginning of the first fMRI session. To examine effects of the tasks on subjective ratings and hormonal stress reactivity, before the first and third rs-scan and after each task, participants again completed the PANAS and ESR and provided saliva samples (Figure 1, T1-T4). Between both tasks a break of at least 60min was spent outside the scanner.</w:t>
      </w:r>
    </w:p>
    <w:p w14:paraId="22DE3106" w14:textId="77777777" w:rsidR="00B944B2" w:rsidRPr="00C14DB6" w:rsidRDefault="00B944B2" w:rsidP="00C14DB6">
      <w:pPr>
        <w:pStyle w:val="MDPI52figure"/>
        <w:jc w:val="left"/>
      </w:pPr>
      <w:r w:rsidRPr="00C14DB6">
        <w:rPr>
          <w:noProof/>
          <w:snapToGrid/>
        </w:rPr>
        <w:drawing>
          <wp:inline distT="0" distB="0" distL="0" distR="0" wp14:anchorId="0D9974ED" wp14:editId="53275A73">
            <wp:extent cx="5033010" cy="113284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5033010" cy="1132840"/>
                    </a:xfrm>
                    <a:prstGeom prst="rect">
                      <a:avLst/>
                    </a:prstGeom>
                  </pic:spPr>
                </pic:pic>
              </a:graphicData>
            </a:graphic>
          </wp:inline>
        </w:drawing>
      </w:r>
    </w:p>
    <w:p w14:paraId="410B7425" w14:textId="2AFE602D" w:rsidR="00B944B2" w:rsidRPr="00C14DB6" w:rsidRDefault="004F33C9" w:rsidP="00C14DB6">
      <w:pPr>
        <w:pStyle w:val="MDPI51figurecaption"/>
        <w:ind w:left="0"/>
        <w:jc w:val="both"/>
      </w:pPr>
      <w:r w:rsidRPr="00C14DB6">
        <w:rPr>
          <w:b/>
        </w:rPr>
        <w:t xml:space="preserve">Figure 1. </w:t>
      </w:r>
      <w:r w:rsidR="00B944B2" w:rsidRPr="00C14DB6">
        <w:t xml:space="preserve">Study design. After arrival and self-report questionnaires, two fMRI sessions consisting of an anatomical scan (only before the first session), two rs-scans per session, a stress induction task with either the Cyberball (for social exclusion) or the modified MIST (for achievement stress) were administered to participants, with a 60 min </w:t>
      </w:r>
      <w:r w:rsidR="00B944B2" w:rsidRPr="00C14DB6">
        <w:lastRenderedPageBreak/>
        <w:t>break in-between. Saliva samples and subjective ratings were collected at dedicated time points. Social exclusion and achievement stress were administered in a randomised order, counterbalanced between females and males.</w:t>
      </w:r>
    </w:p>
    <w:p w14:paraId="6F73756C" w14:textId="18DF2AF0" w:rsidR="00B944B2" w:rsidRPr="00C14DB6" w:rsidRDefault="004F33C9" w:rsidP="00C14DB6">
      <w:pPr>
        <w:pStyle w:val="MDPI22heading2"/>
        <w:spacing w:before="240"/>
        <w:ind w:left="0"/>
        <w:rPr>
          <w:noProof w:val="0"/>
        </w:rPr>
      </w:pPr>
      <w:r w:rsidRPr="00C14DB6">
        <w:rPr>
          <w:noProof w:val="0"/>
        </w:rPr>
        <w:t xml:space="preserve">2.3. </w:t>
      </w:r>
      <w:r w:rsidR="00B944B2" w:rsidRPr="00C14DB6">
        <w:rPr>
          <w:noProof w:val="0"/>
        </w:rPr>
        <w:t>Stress tasks</w:t>
      </w:r>
    </w:p>
    <w:p w14:paraId="3B6CA31A" w14:textId="4DE011C7" w:rsidR="00B944B2" w:rsidRPr="00C14DB6" w:rsidRDefault="004F33C9" w:rsidP="00C14DB6">
      <w:pPr>
        <w:pStyle w:val="MDPI23heading3"/>
        <w:ind w:left="0"/>
      </w:pPr>
      <w:r w:rsidRPr="00C14DB6">
        <w:t xml:space="preserve">2.3.1. </w:t>
      </w:r>
      <w:r w:rsidR="00B944B2" w:rsidRPr="00C14DB6">
        <w:t>Modified Montreal Imaging Stress Task - MIST</w:t>
      </w:r>
    </w:p>
    <w:p w14:paraId="51B9E174" w14:textId="77777777" w:rsidR="00B944B2" w:rsidRPr="00C14DB6" w:rsidRDefault="00B944B2" w:rsidP="00C14DB6">
      <w:pPr>
        <w:pStyle w:val="MDPI31text"/>
        <w:ind w:left="0"/>
      </w:pPr>
      <w:r w:rsidRPr="00C14DB6">
        <w:t xml:space="preserve">For achievement stress, we used a modified version of the MIST </w:t>
      </w:r>
      <w:r w:rsidRPr="00C14DB6">
        <w:fldChar w:fldCharType="begin"/>
      </w:r>
      <w:r w:rsidRPr="00C14DB6">
        <w:instrText xml:space="preserve"> ADDIN ZOTERO_ITEM CSL_CITATION {"citationID":"EwDftJLl","properties":{"formattedCitation":"[3]","plainCitation":"[3]","noteIndex":0},"citationItems":[{"id":510,"uris":["http://zotero.org/groups/4860232/items/RCT922VZ"],"itemData":{"id":510,"type":"article-journal","abstract":"Objective: We developed a protocol for inducing moderate psychologic stress in a functional imaging setting and evaluated the effects of stress on physiology and brain activation. Methods: The Montreal Imaging Stress Task (MIST), derived from the Trier Mental Challenge Test, consists of a series of computerized mental arithmetic challenges, along with social evaluative threat components that are built into the program or presented by the investigator. To allow the effects of stress and mental arithmetic to be investigated separately, the MIST has 3 test conditions (rest, control and experimental), which can be presented in either a block or an event-related design, for use with functional magnetic resonance imaging (fMRI) or positron emission tomography (PET). In the rest condition, subjects look at a static computer screen on which no tasks are shown. In the control condition, a series of mental arithmetic tasks are displayed on the computer screen, and subjects submit their answers by means of a response interface. In the experimental condition, the difficulty and time limit of the tasks are manipulated to be just beyond the individual's mental capacity. In addition, in this condition the presentation of the mental arithmetic tasks is supplemented by a display of information on individual and average performance, as well as expected performance. Upon completion of each task, the program presents a performance evaluation to further increase the social evaluative threat of the situation. Results: In 2 independent studies using PET and a third independent study using fMRI, with a total of 42 subjects, levels of salivary free cortisol for the whole group were significantly increased under the experimental condition, relative to the control and rest conditions. Performing mental arithmetic was linked to activation of motor and visual association cortices, as well as brain structures involved in the performance of these tasks (e.g., the angular gyrus). Conclusions: We propose the MIST as a tool for investigating the effects of perceiving and processing psychosocial stress in functional imaging studies. © 2005 CMA Media Inc.","container-title":"Journal of psychiatry &amp; neuroscience : JPN","ISSN":"1180-4882","issue":"5","note":"PMID: 16151536\npublisher: J Psychiatry Neurosci","page":"319-325","title":"The Montreal Imaging Stress Task: using functional imaging to investigate the effects of perceiving and processing psychosocial stress in the human brain","volume":"30","author":[{"family":"Dedovic","given":"Katarina"},{"family":"Renwick","given":"Robert"},{"family":"Mahani","given":"Najmeh Khalili"},{"family":"Engert","given":"Veronika"},{"family":"Lupien","given":"Sonia J."},{"family":"Pruessner","given":"Jens C."}],"issued":{"date-parts":[["2005",9]]}}}],"schema":"https://github.com/citation-style-language/schema/raw/master/csl-citation.json"} </w:instrText>
      </w:r>
      <w:r w:rsidRPr="00C14DB6">
        <w:fldChar w:fldCharType="separate"/>
      </w:r>
      <w:r w:rsidRPr="00C14DB6">
        <w:t>[3]</w:t>
      </w:r>
      <w:r w:rsidRPr="00C14DB6">
        <w:fldChar w:fldCharType="end"/>
      </w:r>
      <w:r w:rsidRPr="00C14DB6">
        <w:t xml:space="preserve">, in which participants had to solve mental arithmetic problems. The task’s difficulty was adapted to each participant’s performance and participants received feedback on their accuracy on the arithmetic tasks. The modified MIST consists of two conditions: (1) In the control condition, participants performed arithmetic tasks without time pressure, and (2) in the stress condition, participants’ success rate was kept at 20-45% by increasing difficulty and diminishing available time. For the current study, the MIST was modified to exclude the social component of this task by giving no negative social feedback nor feedback about performance of an average group of peers. This was necessary to compare social exclusion and achievement stress between females and males in the current study design. In total, the task lasted 10 min, with two control conditions and two stress conditions of 70 sec each, repeated twice. For a more detailed description of this task, see </w:t>
      </w:r>
      <w:r w:rsidRPr="00C14DB6">
        <w:fldChar w:fldCharType="begin"/>
      </w:r>
      <w:r w:rsidRPr="00C14DB6">
        <w:instrText xml:space="preserve"> ADDIN ZOTERO_ITEM CSL_CITATION {"citationID":"HNHdocj5","properties":{"formattedCitation":"[32]","plainCitation":"[32]","noteIndex":0},"citationItems":[{"id":508,"uris":["http://zotero.org/groups/4860232/items/92VZTQ57"],"itemData":{"id":508,"type":"article-journal","abstract":"Positive self-evaluation is a major psychological resource modulating stress coping behavior. Sex differences have been reported in self-esteem as well as stress reactions, but so far their interactions have not been investigated. Therefore, we investigated sex-specific associations of self-esteem and stress reaction on behavioral, hormonal and neural levels. We applied a commonly used fMRI-stress task in 80 healthy participants. Men compared to women showed higher activation during stress in hippocampus, precuneus, superior temporal gyrus (STG) and insula. Furthermore, men outperformed women in the stress task and had higher cortisol and testosterone levels than women after stress. Self-esteem had an impact on precuneus, insula and STG activation during stress across the whole group. During stress, men recruit regions associated with emotion and stress regulation, self-referential processing and cognitive control more strongly than women. Self-esteem affects stress processing, however in a sex-independent fashion: participants with lower self-esteem show higher activation of regions involved in emotion and stress regulation, self-referential processing and cognitive control. Taken together, our data suggest that men are more engaged during the applied stress task. Across women and men, lower self-esteem increases the effort in emotion and stress processing and cognitive control, possibly leading to self-related thoughts in stressful situations.","container-title":"Scientific reports","DOI":"10.1038/S41598-017-17485-W","ISSN":"2045-2322","issue":"1","note":"PMID: 29222516\npublisher: Sci Rep","title":"Impact of self-esteem and sex on stress reactions","URL":"https://pubmed.ncbi.nlm.nih.gov/29222516/","volume":"7","author":[{"family":"Kogler","given":"Lydia"},{"family":"Seidel","given":"Eva Maria"},{"family":"Metzler","given":"Hannah"},{"family":"Thaler","given":"Hanna"},{"family":"Boubela","given":"Roland N."},{"family":"Pruessner","given":"Jens C."},{"family":"Kryspin-Exner","given":"Ilse"},{"family":"Gur","given":"Ruben C."},{"family":"Windischberger","given":"Christian"},{"family":"Moser","given":"Ewald"},{"family":"Habel","given":"Ute"},{"family":"Derntl","given":"Birgit"}],"accessed":{"date-parts":[["2022",2,1]]},"issued":{"date-parts":[["2017",12,1]]}}}],"schema":"https://github.com/citation-style-language/schema/raw/master/csl-citation.json"} </w:instrText>
      </w:r>
      <w:r w:rsidRPr="00C14DB6">
        <w:fldChar w:fldCharType="separate"/>
      </w:r>
      <w:r w:rsidRPr="00C14DB6">
        <w:t>[32]</w:t>
      </w:r>
      <w:r w:rsidRPr="00C14DB6">
        <w:fldChar w:fldCharType="end"/>
      </w:r>
      <w:r w:rsidRPr="00C14DB6">
        <w:t xml:space="preserve">. </w:t>
      </w:r>
    </w:p>
    <w:p w14:paraId="630B0424" w14:textId="74B89E24" w:rsidR="00B944B2" w:rsidRPr="00C14DB6" w:rsidRDefault="004F33C9" w:rsidP="00C14DB6">
      <w:pPr>
        <w:pStyle w:val="MDPI23heading3"/>
        <w:spacing w:before="240"/>
        <w:ind w:left="0"/>
      </w:pPr>
      <w:r w:rsidRPr="00C14DB6">
        <w:t xml:space="preserve">2.3.2. </w:t>
      </w:r>
      <w:r w:rsidR="00B944B2" w:rsidRPr="00C14DB6">
        <w:t>Cyberball</w:t>
      </w:r>
    </w:p>
    <w:p w14:paraId="38AAD396" w14:textId="77777777" w:rsidR="00B944B2" w:rsidRPr="00C14DB6" w:rsidRDefault="00B944B2" w:rsidP="00C14DB6">
      <w:pPr>
        <w:pStyle w:val="MDPI31text"/>
        <w:ind w:left="0"/>
      </w:pPr>
      <w:r w:rsidRPr="00C14DB6">
        <w:t xml:space="preserve">For social exclusion, we used a modified version of the Cyberball task </w:t>
      </w:r>
      <w:r w:rsidRPr="00C14DB6">
        <w:fldChar w:fldCharType="begin"/>
      </w:r>
      <w:r w:rsidRPr="00C14DB6">
        <w:instrText xml:space="preserve"> ADDIN ZOTERO_ITEM CSL_CITATION {"citationID":"q9zupm5x","properties":{"formattedCitation":"[2]","plainCitation":"[2]","noteIndex":0},"citationItems":[{"id":84,"uris":["http://zotero.org/users/10615573/items/UAJAZAQ7"],"itemData":{"id":84,"type":"article-journal","abstract":"Since the mid-1990s, research on interpersonal acceptance and exclusion has proliferated, and several paradigms have evolved that vary in their efficiency, context specificity, and strength. This article describes one such paradigm, Cyberball, which is an ostensibly online ball-tossing game that participants believe they are playing with two or three others. In fact, the \"others\" are controlled by the programmer. The course and speed of the game, the frequency of inclusion, player information, and iconic representation are all options the researcher can regulate. The game was designed to manipulate independent variables (e.g., ostracism) but can also be used as a dependent measure of prejudice and discrimination. The game works on both PC and Macintosh (OS X) platforms and is freely available. Copyright 2006 Psychonomic Society, Inc.","container-title":"Behavior research methods","DOI":"10.3758/BF03192765","ISSN":"1554-351X","issue":"1","note":"PMID: 16817529\npublisher: Behav Res Methods","page":"174-180","title":"Cyberball: a program for use in research on interpersonal ostracism and acceptance","volume":"38","author":[{"family":"Williams","given":"Kipling D."},{"family":"Jarvis","given":"Blair"}],"issued":{"date-parts":[["2006"]]}}}],"schema":"https://github.com/citation-style-language/schema/raw/master/csl-citation.json"} </w:instrText>
      </w:r>
      <w:r w:rsidRPr="00C14DB6">
        <w:fldChar w:fldCharType="separate"/>
      </w:r>
      <w:r w:rsidRPr="00C14DB6">
        <w:t>[2]</w:t>
      </w:r>
      <w:r w:rsidRPr="00C14DB6">
        <w:fldChar w:fldCharType="end"/>
      </w:r>
      <w:r w:rsidRPr="00C14DB6">
        <w:t xml:space="preserve">, a virtual ball tossing game played with two other players (1 male, 1 female; modified version according to </w:t>
      </w:r>
      <w:r w:rsidRPr="00C14DB6">
        <w:fldChar w:fldCharType="begin"/>
      </w:r>
      <w:r w:rsidRPr="00C14DB6">
        <w:instrText xml:space="preserve"> ADDIN ZOTERO_ITEM CSL_CITATION {"citationID":"ApiHJTSP","properties":{"formattedCitation":"[34]","plainCitation":"[34]","noteIndex":0},"citationItems":[{"id":455,"uris":["http://zotero.org/groups/4860232/items/HI3Q94B4"],"itemData":{"id":455,"type":"article-journal","abstract":"Recent research has shown that experiencing events that represent a significant threat to social bonds activates a network of brain areas associated with the sensory-discriminative aspects of pain. In the present study, we investigated whether the same brain areas are involved when witnessing social exclusion threats experienced by others. Using a within-subject design, we show that an ecologically valid experience of social exclusion recruits areas coding the somatosensory components of physical pain (posterior insular cortex and secondary somatosensory cortex). Furthermore, we show that this pattern of activation not only holds for directly experienced social pain, but also during empathy for social pain. Finally, we report that subgenual cingulate cortex is the only brain area conjointly active during empathy for physical and social pain. This supports recent theories that affective processing and homeostatic regulation are at the core of empathic responses.","container-title":"Social cognitive and affective neuroscience","DOI":"10.1093/SCAN/NSU038","ISSN":"1749-5024","issue":"2","note":"PMID: 24563529\npublisher: Soc Cogn Affect Neurosci","page":"153-164","title":"Empathy for social exclusion involves the sensory-discriminative component of pain: a within-subject fMRI study","volume":"10","author":[{"family":"Novembre","given":"Giovanni"},{"family":"Zanon","given":"Marco"},{"family":"Silani","given":"Giorgia"}],"issued":{"date-parts":[["2015",12,19]]}}}],"schema":"https://github.com/citation-style-language/schema/raw/master/csl-citation.json"} </w:instrText>
      </w:r>
      <w:r w:rsidRPr="00C14DB6">
        <w:fldChar w:fldCharType="separate"/>
      </w:r>
      <w:r w:rsidRPr="00C14DB6">
        <w:t>[34]</w:t>
      </w:r>
      <w:r w:rsidRPr="00C14DB6">
        <w:fldChar w:fldCharType="end"/>
      </w:r>
      <w:r w:rsidRPr="00C14DB6">
        <w:t xml:space="preserve">). Participants were instructed that they would engage in a ball tossing game with other participants and that they were not to meet the other players before the game to avoid first impressions influencing gameplay. To increase credibility that other players were “real”, participants were told that they would be allowed to meet the other players after the game. Thus, participants didn’t know that the two other players were computer-determined. Participants had the choice of pressing one of two buttons to toss the ball to either of the two other players. The players were represented by silhouettes from a pre-recorded video of real people. The participant was represented with two hands at the bottom of the screen. The task consisted of three conditions: (1) in the technical exclusion condition, a message appeared that the network connection was not working properly; (2) in the social exclusion condition, participants did not receive any passes, with a message assuring them that network connection was working properly; and (3) in the inclusion condition, participants received a third of the passes. The task started with a technical exclusion block, followed by three inclusion blocks, five exclusion blocks and finished with two more inclusion blocks (30-40sec/block). Each block consisted of approximately 12 passes. Inter-block intervals with a fixation cross lasted 1-3sec. Total duration of the task was approximately 10min. For a more detailed description of this task, see </w:t>
      </w:r>
      <w:r w:rsidRPr="00C14DB6">
        <w:fldChar w:fldCharType="begin"/>
      </w:r>
      <w:r w:rsidRPr="00C14DB6">
        <w:instrText xml:space="preserve"> ADDIN ZOTERO_ITEM CSL_CITATION {"citationID":"vamCmnAE","properties":{"formattedCitation":"[33]","plainCitation":"[33]","noteIndex":0},"citationItems":[{"id":514,"uris":["http://zotero.org/groups/4860232/items/UBH43276"],"itemData":{"id":514,"type":"article-journal","abstract":"Social exclusion is a complex phenomenon, with wide-ranging immediate and delayed effects on well-being, hormone levels, brain activation and motivational behavior. Building upon previous work, the current fMRI study investigated affective, endocrine and neural responses to social exclusion in a more naturalistic Cyberball task in 40 males and 40 females. As expected, social exclusion elicited well-documented affective and neural responses, i.e., increased anger and distress, as well as increased exclusion-related activation of the anterior insula, the posterior-medial frontal cortex and the orbitofrontal cortex. Cortisol and testosterone decreased over the course of the experiment, whereas progesterone showed no changes. Hormone levels were not correlated with subjective affect, but they were related to exclusion-induced neural responses. Exclusion-related activation in frontal areas was associated with decreases in cortisol and increases in testosterone until recovery. Given that results were largely independent of sex, the current findings have important implications regarding between-sex vs. within-sex variations and the conceptualization of state vs. trait neuroendocrine functions in social neuroscience.","container-title":"Psychoneuroendocrinology","DOI":"10.1016/J.PSYNEUEN.2018.04.005","ISSN":"0306-4530","note":"PMID: 29702443\npublisher: Pergamon","page":"56-64","title":"Immediate and delayed neuroendocrine responses to social exclusion in males and females","volume":"93","author":[{"family":"Radke","given":"S."},{"family":"Seidel","given":"E. M."},{"family":"Boubela","given":"R. N."},{"family":"Thaler","given":"H."},{"family":"Metzler","given":"H."},{"family":"Kryspin-Exner","given":"I."},{"family":"Moser","given":"E."},{"family":"Habel","given":"U."},{"family":"Derntl","given":"B."}],"issued":{"date-parts":[["2018",7,1]]}}}],"schema":"https://github.com/citation-style-language/schema/raw/master/csl-citation.json"} </w:instrText>
      </w:r>
      <w:r w:rsidRPr="00C14DB6">
        <w:fldChar w:fldCharType="separate"/>
      </w:r>
      <w:r w:rsidRPr="00C14DB6">
        <w:t>[33]</w:t>
      </w:r>
      <w:r w:rsidRPr="00C14DB6">
        <w:fldChar w:fldCharType="end"/>
      </w:r>
      <w:r w:rsidRPr="00C14DB6">
        <w:t>.</w:t>
      </w:r>
    </w:p>
    <w:p w14:paraId="0C83FAA9" w14:textId="47530EB1" w:rsidR="00B944B2" w:rsidRPr="00C14DB6" w:rsidRDefault="004F33C9" w:rsidP="00C14DB6">
      <w:pPr>
        <w:pStyle w:val="MDPI22heading2"/>
        <w:spacing w:before="240"/>
        <w:ind w:left="0"/>
        <w:rPr>
          <w:noProof w:val="0"/>
        </w:rPr>
      </w:pPr>
      <w:r w:rsidRPr="00C14DB6">
        <w:rPr>
          <w:noProof w:val="0"/>
        </w:rPr>
        <w:t xml:space="preserve">2.4. </w:t>
      </w:r>
      <w:r w:rsidR="00B944B2" w:rsidRPr="00C14DB6">
        <w:rPr>
          <w:noProof w:val="0"/>
        </w:rPr>
        <w:t>Saliva samples</w:t>
      </w:r>
    </w:p>
    <w:p w14:paraId="3E33DEB7" w14:textId="77777777" w:rsidR="00B944B2" w:rsidRPr="00C14DB6" w:rsidRDefault="00B944B2" w:rsidP="00C14DB6">
      <w:pPr>
        <w:pStyle w:val="MDPI31text"/>
        <w:ind w:left="0"/>
      </w:pPr>
      <w:r w:rsidRPr="00C14DB6">
        <w:t>To assess hormone concentrations, saliva samples were obtained at five different time points (T0-T4), four times (pre- vs. post-stressor samples) while participants were lying in the MRI scanner (see Figure 1 and paragraph 2.2). The samples were stored at -20°C until shipping to the analysis laboratory (SwissHealthMed, Aying, Germany), where they were frozen overnight at -20°C again, thawed, and centrifuged. Hormone concentrations of cortisol, testosterone and progesterone were assessed for all time points through competitive luminescence immunoassay (LUMI) kits, while estradiol levels were assessed with enzyme-linked immunoassay (ELISA) kits (SwissHealthMed, Aying, Germany), as they show a better sensitivity than the LUMI kits for estradiol. Estradiol was only assessed in females at arrival (T0), as it merely served to determine menstrual cycle phase. Reliable and valid measurements were achieved for the four hormones with these kits (cortisol: intra-assay coefficient of variability (CV)&lt;4% and inter-assay CV&lt;5%, testosterone: intra-assay CV&lt;4% and inter-assay CV&lt;7%, progesterone: inter-assay CV&lt;4% and inter-assay CV&lt;5%, estradiol: intra-assay CV&lt;8% and inter-assay CV&lt;4%).</w:t>
      </w:r>
    </w:p>
    <w:p w14:paraId="66F3EA98" w14:textId="323348B8" w:rsidR="00B944B2" w:rsidRPr="00C14DB6" w:rsidRDefault="004F33C9" w:rsidP="00C14DB6">
      <w:pPr>
        <w:pStyle w:val="MDPI22heading2"/>
        <w:spacing w:before="240"/>
        <w:ind w:left="0"/>
        <w:rPr>
          <w:noProof w:val="0"/>
        </w:rPr>
      </w:pPr>
      <w:r w:rsidRPr="00C14DB6">
        <w:rPr>
          <w:noProof w:val="0"/>
        </w:rPr>
        <w:t xml:space="preserve">2.5. </w:t>
      </w:r>
      <w:r w:rsidR="00B944B2" w:rsidRPr="00C14DB6">
        <w:rPr>
          <w:noProof w:val="0"/>
        </w:rPr>
        <w:t>Data and statistical analysis of behavioural and hormonal data</w:t>
      </w:r>
    </w:p>
    <w:p w14:paraId="367BBA70" w14:textId="243A3678" w:rsidR="00B944B2" w:rsidRPr="00C14DB6" w:rsidRDefault="00B944B2" w:rsidP="00C14DB6">
      <w:pPr>
        <w:pStyle w:val="MDPI31text"/>
        <w:ind w:left="0"/>
      </w:pPr>
      <w:r w:rsidRPr="00C14DB6">
        <w:t xml:space="preserve">Statistical analysis of sex differences in demographic, subjective, and hormonal data was done with IBM SPSS statistics for Windows, version 27 (IBM Corp., Armonk, NY, USA). For demographic data used for the sample description (see paragraph 3.1), we tested assumptions for parametric testing and </w:t>
      </w:r>
      <w:r w:rsidRPr="00C14DB6">
        <w:lastRenderedPageBreak/>
        <w:t>t-tests or non-parametric equivalents were performed. For subjective (positive and negative affect, anger) and hormonal (cortisol) stress reactivity, four separate three-factor ANCOVAs with two within-subject factors (task [achievement stress/social exclusion], time [pre-/post-stress]), one between-subjects factor (sex [female/male]) and a covariate-of-no-interest (order of task presentation)</w:t>
      </w:r>
      <w:r w:rsidR="006F6C19" w:rsidRPr="00C14DB6">
        <w:t xml:space="preserve">, to account for a potential effect of the order of task presentation, </w:t>
      </w:r>
      <w:r w:rsidRPr="00C14DB6">
        <w:t>were performed. The significance level for all statistical tests was set at p&lt;.05. ANCOVAs were Bonferroni-corrected.</w:t>
      </w:r>
    </w:p>
    <w:p w14:paraId="43AC1FC6" w14:textId="5E168ECA" w:rsidR="00B944B2" w:rsidRPr="00C14DB6" w:rsidRDefault="004F33C9" w:rsidP="00C14DB6">
      <w:pPr>
        <w:pStyle w:val="MDPI22heading2"/>
        <w:spacing w:before="240"/>
        <w:ind w:left="0"/>
        <w:rPr>
          <w:noProof w:val="0"/>
        </w:rPr>
      </w:pPr>
      <w:r w:rsidRPr="00C14DB6">
        <w:rPr>
          <w:noProof w:val="0"/>
        </w:rPr>
        <w:t xml:space="preserve">2.6. </w:t>
      </w:r>
      <w:r w:rsidR="00B944B2" w:rsidRPr="00C14DB6">
        <w:rPr>
          <w:noProof w:val="0"/>
        </w:rPr>
        <w:t>rsFC analyses</w:t>
      </w:r>
    </w:p>
    <w:p w14:paraId="3D4BB48A" w14:textId="79D65A07" w:rsidR="00B944B2" w:rsidRPr="00C14DB6" w:rsidRDefault="004F33C9" w:rsidP="00C14DB6">
      <w:pPr>
        <w:pStyle w:val="MDPI23heading3"/>
        <w:ind w:left="0"/>
      </w:pPr>
      <w:r w:rsidRPr="00C14DB6">
        <w:t xml:space="preserve">2.6.1. </w:t>
      </w:r>
      <w:r w:rsidR="00B944B2" w:rsidRPr="00C14DB6">
        <w:t>Definition of regions-of-interests</w:t>
      </w:r>
    </w:p>
    <w:p w14:paraId="1C59E229" w14:textId="77777777" w:rsidR="00B944B2" w:rsidRPr="00C14DB6" w:rsidRDefault="00B944B2" w:rsidP="00C14DB6">
      <w:pPr>
        <w:pStyle w:val="MDPI31text"/>
        <w:ind w:left="0"/>
      </w:pPr>
      <w:r w:rsidRPr="00C14DB6">
        <w:t xml:space="preserve">To assess amygdala-frontal rsFC, we used the left and right amygdala </w:t>
      </w:r>
      <w:r w:rsidRPr="00C14DB6">
        <w:fldChar w:fldCharType="begin"/>
      </w:r>
      <w:r w:rsidRPr="00C14DB6">
        <w:instrText xml:space="preserve"> ADDIN ZOTERO_ITEM CSL_CITATION {"citationID":"GaxMxIwm","properties":{"formattedCitation":"[35]","plainCitation":"[35]","noteIndex":0},"citationItems":[{"id":437,"uris":["http://zotero.org/groups/4860232/items/RUT2TYWR"],"itemData":{"id":437,"type":"article-journal","abstract":"Recent neuroimaging studies investigating responses to stressful stimuli may importantly further our understanding of psychological trauma etiology. However, theory posits that sustained activation of these stress circuits after the stressful event may play an equally important role in the development of stress-related psychopathology. Importantly, such post-stress network changes remain poorly characterized. The amygdala with its connections is crucially positioned in the central stress circuitry that mediates the initial stress response. Hence, we investigated post-stress amygdala-centered connectivity patterns in order to characterize the aftermath of acute, experimentally-induced stress in healthy humans. We recorded resting-state functional MRI in 26 female participants following a period of moderate psychological stress induced by means of aversive (vs. emotionally neutral) movie watching with a self-referencing instruction. Next, we implemented a seedregion analysis calculating the voxel-wise correlation with the anatomically extracted time-series of the amygdala. Various stress measures confirmed successful stress induction. Moreover, we demonstrated enhanced functional coupling of the amygdala with dorsal anterior cingulate cortex, anterior insula, and a dorso-rostral pontine region, which appears to overlap with the anatomical location of the locus coeruleus (LC), when contrasting the stress with the control group. Thus, we show that the aftermath of acute stress is qualified by prolonged activation in an amygdala-connectivity network. This pattern of co-activation may indicate an extended state of hypervigilance that promotes sustained salience and mnemonic processing after stress. Characterization of the post-stress brain state may provide initial insight into the early phases of psychological trauma formation. © 2010 Elsevier Inc.","container-title":"NeuroImage","DOI":"10.1016/J.NEUROIMAGE.2010.05.070","ISSN":"1095-9572","issue":"1","note":"PMID: 20621656\npublisher: Neuroimage","page":"348-354","title":"Enhanced resting-state connectivity of amygdala in the immediate aftermath of acute psychological stress","volume":"53","author":[{"family":"Marle","given":"Hein J.F.","non-dropping-particle":"van"},{"family":"Hermans","given":"Erno J."},{"family":"Qin","given":"Shaozheng"},{"family":"Fernández","given":"Guillén"}],"issued":{"date-parts":[["2010",10]]}}}],"schema":"https://github.com/citation-style-language/schema/raw/master/csl-citation.json"} </w:instrText>
      </w:r>
      <w:r w:rsidRPr="00C14DB6">
        <w:fldChar w:fldCharType="separate"/>
      </w:r>
      <w:r w:rsidRPr="00C14DB6">
        <w:t>[35]</w:t>
      </w:r>
      <w:r w:rsidRPr="00C14DB6">
        <w:fldChar w:fldCharType="end"/>
      </w:r>
      <w:r w:rsidRPr="00C14DB6">
        <w:t xml:space="preserve"> and assessed their connectivity with the following frontal areas as regions-of-interest (ROIs). Based on previous literature the unilateral vACC </w:t>
      </w:r>
      <w:r w:rsidRPr="00C14DB6">
        <w:fldChar w:fldCharType="begin"/>
      </w:r>
      <w:r w:rsidRPr="00C14DB6">
        <w:instrText xml:space="preserve"> ADDIN ZOTERO_ITEM CSL_CITATION {"citationID":"Rhy8wWQ7","properties":{"formattedCitation":"[36]","plainCitation":"[36]","noteIndex":0},"citationItems":[{"id":41,"uris":["http://zotero.org/users/10615573/items/Y4WKBJX4"],"itemData":{"id":41,"type":"article-journal","abstract":"Social exclusion inherently involves an element of expectancy violation, in that we expect other people to follow the unwritten rule to include us in social interactions. In this functional magnetic resonance imaging (fMRI) study, we employed a unique modification of an interactive virtual ball-tossing game called \"Cyberball\" (Williams et al., 2000) and a novel paradigm called \"Cybershape,\" in which rules are broken in the absence of social exclusion, to dissociate brain regions that process social exclusion from rule violations more generally. Our Cyberball game employed an alternating block design and removed evoked responses to events when the participant was throwing the ball in inclusion to make this condition comparable to exclusion, where participants did not throw. With these modifications, we replicated prior findings of ventral anterior cingulate cortex (vACC), insula, and posterior cingulate cortex activity evoked by social exclusion relative to inclusion. We also identified exclusion-evoked activity in the hippocampi, left ventrolateral prefrontal cortex, and left middle temporal gyrus. Comparing social exclusion and rule violation revealed a functional dissociation in the active neural systems as well as differential functional connectivity with vACC. Some overlap was observed in regions differentially modulated by social exclusion and rule violation, including the vACC and lateral parietal cortex. These overlapping brain regions showed different activation during social exclusion compared to rule violation, each relative to fair play. Comparing activation patterns to social exclusion and rule violation allowed for the dissociation of brain regions involved in the experience of exclusion versus expectancy violation. © 2010 Elsevier Inc.","container-title":"NeuroImage","DOI":"10.1016/J.NEUROIMAGE.2010.10.049","ISSN":"1095-9572","issue":"3","note":"PMID: 20974272\npublisher: Neuroimage","page":"2462-2471","title":"Dissociable brain mechanisms for processing social exclusion and rule violation","volume":"54","author":[{"family":"Bolling","given":"Danielle Z."},{"family":"Pitskel","given":"Naomi B."},{"family":"Deen","given":"Ben"},{"family":"Crowley","given":"Michael J."},{"family":"McPartland","given":"James C."},{"family":"Mayes","given":"Linda C."},{"family":"Pelphrey","given":"Kevin A."}],"issued":{"date-parts":[["2011",2,1]]}}}],"schema":"https://github.com/citation-style-language/schema/raw/master/csl-citation.json"} </w:instrText>
      </w:r>
      <w:r w:rsidRPr="00C14DB6">
        <w:fldChar w:fldCharType="separate"/>
      </w:r>
      <w:r w:rsidRPr="00C14DB6">
        <w:t>[36]</w:t>
      </w:r>
      <w:r w:rsidRPr="00C14DB6">
        <w:fldChar w:fldCharType="end"/>
      </w:r>
      <w:r w:rsidRPr="00C14DB6">
        <w:t xml:space="preserve">, the unilateral mPFC </w:t>
      </w:r>
      <w:r w:rsidRPr="00C14DB6">
        <w:fldChar w:fldCharType="begin"/>
      </w:r>
      <w:r w:rsidRPr="00C14DB6">
        <w:instrText xml:space="preserve"> ADDIN ZOTERO_ITEM CSL_CITATION {"citationID":"FJDHpIZ3","properties":{"formattedCitation":"[37]","plainCitation":"[37]","noteIndex":0},"citationItems":[{"id":435,"uris":["http://zotero.org/groups/4860232/items/CT9FPPPP"],"itemData":{"id":435,"type":"article-journal","abstract":"Stressful experiences modulate neuro-circuitry function, and the temporal trajectory of these alterations, elapsing from early disturbances to late recovery, heavily influences resilience and vulnerability to stress. Such effects of stress may depend on processes that are engaged during resting-state, through active recollection of past experiences and anticipation of future events, all known to involve the default mode network (DMN). By inducing social stress and acquiring resting-state fMRI before stress, immediately following it, and two hours later, we expanded the time-window for examining the trajectory of the stress response. Throughout the study repeated cortisol samplings and self-reports of stress levels were obtained from 51 healthy young males. Post-stress alterations were investigated by whole brain resting-state functional connectivity of two central hubs of the DMN: the posterior cingulate cortex and hippocampus. Results indicate a 'recovery' pattern of DMN connectivity, in which all alterations, ascribed to the intervening stress, returned to pre-stress levels. The only exception to this pattern was a stress-induced rise in amygdala-hippocampal connectivity, which was sustained for as long as two hours following stress induction. Furthermore, this sustained enhancement of limbic connectivity was inversely correlated to individual stress-induced cortisol responsiveness (AUCi) and characterized only the group lacking such increased cortisol (i.e., non-responders). Our observations provide evidence of a prolonged post-stress response profile, characterized by both the comprehensive balance of most DMN functional connections and the distinct time and cortisol dependent ascent of intra- limbic connectivity. These novel insights into neuro-endocrine relations are another milestone in the ongoing search for individual markers in stress-related psychopathologies. © 2013 Vaisvaser, Lin, Admon, Klovatch, Greenman, Stern, Fruchter, Wald, Pine, Tarrasch, Bar-haim and Hendler.","container-title":"Frontiers in human neuroscience","DOI":"10.3389/FNHUM.2013.00313","ISSN":"1662-5161","issue":"JUN","note":"PMID: 23847492\npublisher: Front Hum Neurosci","title":"Neural traces of stress: cortisol related sustained enhancement of amygdala-hippocampal functional connectivity","URL":"https://pubmed.ncbi.nlm.nih.gov/23847492/","volume":"7","author":[{"family":"Vaisvaser","given":"Sharon"},{"family":"Lin","given":"Tamar"},{"family":"Admon","given":"Roee"},{"family":"Podlipsky","given":"Ilana"},{"family":"Greenman","given":"Yona"},{"family":"Stern","given":"Naftali"},{"family":"Fruchter","given":"Eyal"},{"family":"Wald","given":"Ilan"},{"family":"Pine","given":"Daniel S."},{"family":"Tarrasch","given":"Ricardo"},{"family":"Bar-Haim","given":"Yair"},{"family":"Hendler","given":"Talma"}],"accessed":{"date-parts":[["2022",4,7]]},"issued":{"date-parts":[["2013",6,10]]}}}],"schema":"https://github.com/citation-style-language/schema/raw/master/csl-citation.json"} </w:instrText>
      </w:r>
      <w:r w:rsidRPr="00C14DB6">
        <w:fldChar w:fldCharType="separate"/>
      </w:r>
      <w:r w:rsidRPr="00C14DB6">
        <w:t>[37]</w:t>
      </w:r>
      <w:r w:rsidRPr="00C14DB6">
        <w:fldChar w:fldCharType="end"/>
      </w:r>
      <w:r w:rsidRPr="00C14DB6">
        <w:t xml:space="preserve"> and the left and right dlPFC </w:t>
      </w:r>
      <w:r w:rsidRPr="00C14DB6">
        <w:fldChar w:fldCharType="begin"/>
      </w:r>
      <w:r w:rsidRPr="00C14DB6">
        <w:instrText xml:space="preserve"> ADDIN ZOTERO_ITEM CSL_CITATION {"citationID":"ZbrE7fl0","properties":{"formattedCitation":"[36]","plainCitation":"[36]","noteIndex":0},"citationItems":[{"id":41,"uris":["http://zotero.org/users/10615573/items/Y4WKBJX4"],"itemData":{"id":41,"type":"article-journal","abstract":"Social exclusion inherently involves an element of expectancy violation, in that we expect other people to follow the unwritten rule to include us in social interactions. In this functional magnetic resonance imaging (fMRI) study, we employed a unique modification of an interactive virtual ball-tossing game called \"Cyberball\" (Williams et al., 2000) and a novel paradigm called \"Cybershape,\" in which rules are broken in the absence of social exclusion, to dissociate brain regions that process social exclusion from rule violations more generally. Our Cyberball game employed an alternating block design and removed evoked responses to events when the participant was throwing the ball in inclusion to make this condition comparable to exclusion, where participants did not throw. With these modifications, we replicated prior findings of ventral anterior cingulate cortex (vACC), insula, and posterior cingulate cortex activity evoked by social exclusion relative to inclusion. We also identified exclusion-evoked activity in the hippocampi, left ventrolateral prefrontal cortex, and left middle temporal gyrus. Comparing social exclusion and rule violation revealed a functional dissociation in the active neural systems as well as differential functional connectivity with vACC. Some overlap was observed in regions differentially modulated by social exclusion and rule violation, including the vACC and lateral parietal cortex. These overlapping brain regions showed different activation during social exclusion compared to rule violation, each relative to fair play. Comparing activation patterns to social exclusion and rule violation allowed for the dissociation of brain regions involved in the experience of exclusion versus expectancy violation. © 2010 Elsevier Inc.","container-title":"NeuroImage","DOI":"10.1016/J.NEUROIMAGE.2010.10.049","ISSN":"1095-9572","issue":"3","note":"PMID: 20974272\npublisher: Neuroimage","page":"2462-2471","title":"Dissociable brain mechanisms for processing social exclusion and rule violation","volume":"54","author":[{"family":"Bolling","given":"Danielle Z."},{"family":"Pitskel","given":"Naomi B."},{"family":"Deen","given":"Ben"},{"family":"Crowley","given":"Michael J."},{"family":"McPartland","given":"James C."},{"family":"Mayes","given":"Linda C."},{"family":"Pelphrey","given":"Kevin A."}],"issued":{"date-parts":[["2011",2,1]]}}}],"schema":"https://github.com/citation-style-language/schema/raw/master/csl-citation.json"} </w:instrText>
      </w:r>
      <w:r w:rsidRPr="00C14DB6">
        <w:fldChar w:fldCharType="separate"/>
      </w:r>
      <w:r w:rsidRPr="00C14DB6">
        <w:t>[36]</w:t>
      </w:r>
      <w:r w:rsidRPr="00C14DB6">
        <w:fldChar w:fldCharType="end"/>
      </w:r>
      <w:r w:rsidRPr="00C14DB6">
        <w:t xml:space="preserve"> were chosen. As done previously, ROIs were created by adding a 6-mm sphere around the MNI-coordinates </w:t>
      </w:r>
      <w:r w:rsidRPr="00C14DB6">
        <w:fldChar w:fldCharType="begin"/>
      </w:r>
      <w:r w:rsidRPr="00C14DB6">
        <w:instrText xml:space="preserve"> ADDIN ZOTERO_ITEM CSL_CITATION {"citationID":"EtL6gdXw","properties":{"formattedCitation":"[38]","plainCitation":"[38]","noteIndex":0},"citationItems":[{"id":423,"uris":["http://zotero.org/groups/4860232/items/LC3R8LAN"],"itemData":{"id":423,"type":"article-journal","abstract":"Personality is associated with variation in all kinds of mental faculties, including affective, social, executive, and memory functioning. The intrinsic dynamics of neural networks underlying these mental functions are reflected in their functional connectivity at rest (RSFC). We, therefore, aimed to probe whether connectivity in functional networks allows predicting individual scores of the five-factor personality model and potential gender differences thereof. We assessed nine meta-analytically derived functional networks, representing social, affective, executive, and mnemonic systems. RSFC of all networks was computed in a sample of 210 males and 210 well-matched females and in a replication sample of 155 males and 155 females. Personality scores were predicted using relevance vector machine in both samples. Cross-validation prediction accuracy was defined as the correlation between true and predicted scores. RSFC within networks representing social, affective, mnemonic, and executive systems significantly predicted self-reported levels of Extraversion, Neuroticism, Agreeableness, and Openness. RSFC patterns of most networks, however, predicted personality traits only either in males or in females. Personality traits can be predicted by patterns of RSFC in specific functional brain networks, providing new insights into the neurobiology of personality. However, as most associations were gender-specific, RSFC–personality relations should not be considered independently of gender.","container-title":"Brain structure &amp; function","DOI":"10.1007/S00429-018-1651-Z","ISSN":"1863-2661","issue":"6","note":"PMID: 29572625\npublisher: Brain Struct Funct","page":"2699-2719","title":"Predicting personality from network-based resting-state functional connectivity","volume":"223","author":[{"family":"Nostro","given":"Alessandra D."},{"family":"Müller","given":"Veronika I."},{"family":"Varikuti","given":"Deepthi P."},{"family":"Pläschke","given":"Rachel N."},{"family":"Hoffstaedter","given":"Felix"},{"family":"Langner","given":"Robert"},{"family":"Patil","given":"Kaustubh R."},{"family":"Eickhoff","given":"Simon B."}],"issued":{"date-parts":[["2018",7,1]]}}}],"schema":"https://github.com/citation-style-language/schema/raw/master/csl-citation.json"} </w:instrText>
      </w:r>
      <w:r w:rsidRPr="00C14DB6">
        <w:fldChar w:fldCharType="separate"/>
      </w:r>
      <w:r w:rsidRPr="00C14DB6">
        <w:t>[38]</w:t>
      </w:r>
      <w:r w:rsidRPr="00C14DB6">
        <w:fldChar w:fldCharType="end"/>
      </w:r>
      <w:r w:rsidRPr="00C14DB6">
        <w:t xml:space="preserve"> (see Figure 2 and Table 1 for ROIs and coordinates). </w:t>
      </w:r>
    </w:p>
    <w:p w14:paraId="3F45F212" w14:textId="77777777" w:rsidR="00B944B2" w:rsidRPr="00C14DB6" w:rsidRDefault="00B944B2" w:rsidP="00C14DB6">
      <w:pPr>
        <w:pStyle w:val="MDPI52figure"/>
        <w:jc w:val="left"/>
      </w:pPr>
      <w:r w:rsidRPr="00C14DB6">
        <w:rPr>
          <w:noProof/>
          <w:snapToGrid/>
        </w:rPr>
        <w:drawing>
          <wp:inline distT="0" distB="0" distL="0" distR="0" wp14:anchorId="27C5CA04" wp14:editId="69E3C5EE">
            <wp:extent cx="2856230" cy="24034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stretch>
                      <a:fillRect/>
                    </a:stretch>
                  </pic:blipFill>
                  <pic:spPr bwMode="auto">
                    <a:xfrm>
                      <a:off x="0" y="0"/>
                      <a:ext cx="2856230" cy="2403475"/>
                    </a:xfrm>
                    <a:prstGeom prst="rect">
                      <a:avLst/>
                    </a:prstGeom>
                  </pic:spPr>
                </pic:pic>
              </a:graphicData>
            </a:graphic>
          </wp:inline>
        </w:drawing>
      </w:r>
    </w:p>
    <w:p w14:paraId="796478B3" w14:textId="6515E413" w:rsidR="00B944B2" w:rsidRPr="00C14DB6" w:rsidRDefault="004F33C9" w:rsidP="00C14DB6">
      <w:pPr>
        <w:pStyle w:val="MDPI51figurecaption"/>
        <w:ind w:left="0"/>
        <w:jc w:val="both"/>
      </w:pPr>
      <w:r w:rsidRPr="00C14DB6">
        <w:rPr>
          <w:b/>
        </w:rPr>
        <w:t xml:space="preserve">Figure 2. </w:t>
      </w:r>
      <w:r w:rsidR="00B944B2" w:rsidRPr="00C14DB6">
        <w:t>Amygdala-frontal network: representation of the ROIs. For the analyses we assessed rsFC of the amygdalae (in green) with one of the other ROIs (in orange), namely the ventral anterior cingulate cortex (vACC, unilaterally), the medial prefrontal cortex (mPFC, unilaterally) or the dorsolateral prefrontal cortex (dlPFC, bilaterally).</w:t>
      </w:r>
    </w:p>
    <w:p w14:paraId="1E7754E7" w14:textId="46CA10AF" w:rsidR="00B944B2" w:rsidRPr="00C14DB6" w:rsidRDefault="004F33C9" w:rsidP="00C14DB6">
      <w:pPr>
        <w:pStyle w:val="MDPI41tablecaption"/>
        <w:ind w:left="0"/>
      </w:pPr>
      <w:r w:rsidRPr="00C14DB6">
        <w:rPr>
          <w:b/>
        </w:rPr>
        <w:t xml:space="preserve">Table 1. </w:t>
      </w:r>
      <w:r w:rsidR="00B944B2" w:rsidRPr="00C14DB6">
        <w:t>MNI coordinates of each ROI</w:t>
      </w:r>
      <w:r w:rsidRPr="00C14DB6">
        <w:t>.</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328"/>
        <w:gridCol w:w="1383"/>
        <w:gridCol w:w="1382"/>
        <w:gridCol w:w="1382"/>
        <w:gridCol w:w="1382"/>
      </w:tblGrid>
      <w:tr w:rsidR="00B944B2" w:rsidRPr="00C14DB6" w14:paraId="6887C5A0" w14:textId="77777777" w:rsidTr="00D20538">
        <w:tc>
          <w:tcPr>
            <w:tcW w:w="2328" w:type="dxa"/>
            <w:tcBorders>
              <w:top w:val="single" w:sz="8" w:space="0" w:color="auto"/>
              <w:bottom w:val="single" w:sz="4" w:space="0" w:color="auto"/>
            </w:tcBorders>
            <w:shd w:val="clear" w:color="auto" w:fill="auto"/>
            <w:vAlign w:val="center"/>
          </w:tcPr>
          <w:p w14:paraId="6300EEB8" w14:textId="77777777" w:rsidR="00B944B2" w:rsidRPr="00C14DB6" w:rsidRDefault="00B944B2" w:rsidP="00C14DB6">
            <w:pPr>
              <w:pStyle w:val="MDPI42tablebody"/>
              <w:rPr>
                <w:b/>
                <w:snapToGrid/>
              </w:rPr>
            </w:pPr>
            <w:r w:rsidRPr="00C14DB6">
              <w:rPr>
                <w:b/>
                <w:snapToGrid/>
              </w:rPr>
              <w:t>MNI coordinates</w:t>
            </w:r>
          </w:p>
        </w:tc>
        <w:tc>
          <w:tcPr>
            <w:tcW w:w="1383" w:type="dxa"/>
            <w:tcBorders>
              <w:top w:val="single" w:sz="8" w:space="0" w:color="auto"/>
              <w:bottom w:val="single" w:sz="4" w:space="0" w:color="auto"/>
            </w:tcBorders>
            <w:shd w:val="clear" w:color="auto" w:fill="auto"/>
            <w:vAlign w:val="center"/>
          </w:tcPr>
          <w:p w14:paraId="35D2E9A7" w14:textId="77777777" w:rsidR="00B944B2" w:rsidRPr="00C14DB6" w:rsidRDefault="00B944B2" w:rsidP="00C14DB6">
            <w:pPr>
              <w:pStyle w:val="MDPI42tablebody"/>
              <w:rPr>
                <w:b/>
                <w:snapToGrid/>
              </w:rPr>
            </w:pPr>
          </w:p>
        </w:tc>
        <w:tc>
          <w:tcPr>
            <w:tcW w:w="1382" w:type="dxa"/>
            <w:tcBorders>
              <w:top w:val="single" w:sz="8" w:space="0" w:color="auto"/>
              <w:bottom w:val="single" w:sz="4" w:space="0" w:color="auto"/>
            </w:tcBorders>
            <w:shd w:val="clear" w:color="auto" w:fill="auto"/>
            <w:vAlign w:val="center"/>
          </w:tcPr>
          <w:p w14:paraId="775A7937" w14:textId="77777777" w:rsidR="00B944B2" w:rsidRPr="00C14DB6" w:rsidRDefault="00B944B2" w:rsidP="00C14DB6">
            <w:pPr>
              <w:pStyle w:val="MDPI42tablebody"/>
              <w:rPr>
                <w:b/>
                <w:snapToGrid/>
              </w:rPr>
            </w:pPr>
            <w:r w:rsidRPr="00C14DB6">
              <w:rPr>
                <w:b/>
                <w:snapToGrid/>
              </w:rPr>
              <w:t>X</w:t>
            </w:r>
          </w:p>
        </w:tc>
        <w:tc>
          <w:tcPr>
            <w:tcW w:w="1382" w:type="dxa"/>
            <w:tcBorders>
              <w:top w:val="single" w:sz="8" w:space="0" w:color="auto"/>
              <w:bottom w:val="single" w:sz="4" w:space="0" w:color="auto"/>
            </w:tcBorders>
            <w:shd w:val="clear" w:color="auto" w:fill="auto"/>
            <w:vAlign w:val="center"/>
          </w:tcPr>
          <w:p w14:paraId="64E9331B" w14:textId="77777777" w:rsidR="00B944B2" w:rsidRPr="00C14DB6" w:rsidRDefault="00B944B2" w:rsidP="00C14DB6">
            <w:pPr>
              <w:pStyle w:val="MDPI42tablebody"/>
              <w:rPr>
                <w:b/>
                <w:snapToGrid/>
              </w:rPr>
            </w:pPr>
            <w:r w:rsidRPr="00C14DB6">
              <w:rPr>
                <w:b/>
                <w:snapToGrid/>
              </w:rPr>
              <w:t>Y</w:t>
            </w:r>
          </w:p>
        </w:tc>
        <w:tc>
          <w:tcPr>
            <w:tcW w:w="1382" w:type="dxa"/>
            <w:tcBorders>
              <w:top w:val="single" w:sz="8" w:space="0" w:color="auto"/>
              <w:bottom w:val="single" w:sz="4" w:space="0" w:color="auto"/>
            </w:tcBorders>
            <w:shd w:val="clear" w:color="auto" w:fill="auto"/>
            <w:vAlign w:val="center"/>
          </w:tcPr>
          <w:p w14:paraId="615A8406" w14:textId="77777777" w:rsidR="00B944B2" w:rsidRPr="00C14DB6" w:rsidRDefault="00B944B2" w:rsidP="00C14DB6">
            <w:pPr>
              <w:pStyle w:val="MDPI42tablebody"/>
              <w:rPr>
                <w:b/>
                <w:snapToGrid/>
              </w:rPr>
            </w:pPr>
            <w:r w:rsidRPr="00C14DB6">
              <w:rPr>
                <w:b/>
                <w:snapToGrid/>
              </w:rPr>
              <w:t>Z</w:t>
            </w:r>
          </w:p>
        </w:tc>
      </w:tr>
      <w:tr w:rsidR="00B944B2" w:rsidRPr="00C14DB6" w14:paraId="21FD1109" w14:textId="77777777" w:rsidTr="00D20538">
        <w:tc>
          <w:tcPr>
            <w:tcW w:w="2328" w:type="dxa"/>
            <w:shd w:val="clear" w:color="auto" w:fill="auto"/>
            <w:vAlign w:val="center"/>
          </w:tcPr>
          <w:p w14:paraId="3BB57719" w14:textId="77777777" w:rsidR="00B944B2" w:rsidRPr="00C14DB6" w:rsidRDefault="00B944B2" w:rsidP="00C14DB6">
            <w:pPr>
              <w:pStyle w:val="MDPI42tablebody"/>
            </w:pPr>
            <w:r w:rsidRPr="00C14DB6">
              <w:t>Amygdala(bilateral)</w:t>
            </w:r>
          </w:p>
        </w:tc>
        <w:tc>
          <w:tcPr>
            <w:tcW w:w="1383" w:type="dxa"/>
            <w:shd w:val="clear" w:color="auto" w:fill="auto"/>
            <w:vAlign w:val="center"/>
          </w:tcPr>
          <w:p w14:paraId="3BA6CA1B" w14:textId="77777777" w:rsidR="00B944B2" w:rsidRPr="00C14DB6" w:rsidRDefault="00B944B2" w:rsidP="00C14DB6">
            <w:pPr>
              <w:pStyle w:val="MDPI42tablebody"/>
            </w:pPr>
            <w:r w:rsidRPr="00C14DB6">
              <w:t>R</w:t>
            </w:r>
          </w:p>
        </w:tc>
        <w:tc>
          <w:tcPr>
            <w:tcW w:w="1382" w:type="dxa"/>
            <w:shd w:val="clear" w:color="auto" w:fill="auto"/>
            <w:vAlign w:val="center"/>
          </w:tcPr>
          <w:p w14:paraId="08A4475A" w14:textId="77777777" w:rsidR="00B944B2" w:rsidRPr="00C14DB6" w:rsidRDefault="00B944B2" w:rsidP="00C14DB6">
            <w:pPr>
              <w:pStyle w:val="MDPI42tablebody"/>
            </w:pPr>
            <w:r w:rsidRPr="00C14DB6">
              <w:t>26</w:t>
            </w:r>
          </w:p>
        </w:tc>
        <w:tc>
          <w:tcPr>
            <w:tcW w:w="1382" w:type="dxa"/>
            <w:shd w:val="clear" w:color="auto" w:fill="auto"/>
            <w:vAlign w:val="center"/>
          </w:tcPr>
          <w:p w14:paraId="2151FD7F" w14:textId="77777777" w:rsidR="00B944B2" w:rsidRPr="00C14DB6" w:rsidRDefault="00B944B2" w:rsidP="00C14DB6">
            <w:pPr>
              <w:pStyle w:val="MDPI42tablebody"/>
            </w:pPr>
            <w:r w:rsidRPr="00C14DB6">
              <w:t>-6</w:t>
            </w:r>
          </w:p>
        </w:tc>
        <w:tc>
          <w:tcPr>
            <w:tcW w:w="1382" w:type="dxa"/>
            <w:shd w:val="clear" w:color="auto" w:fill="auto"/>
            <w:vAlign w:val="center"/>
          </w:tcPr>
          <w:p w14:paraId="6176B4A5" w14:textId="77777777" w:rsidR="00B944B2" w:rsidRPr="00C14DB6" w:rsidRDefault="00B944B2" w:rsidP="00C14DB6">
            <w:pPr>
              <w:pStyle w:val="MDPI42tablebody"/>
            </w:pPr>
            <w:r w:rsidRPr="00C14DB6">
              <w:t>-14</w:t>
            </w:r>
          </w:p>
        </w:tc>
      </w:tr>
      <w:tr w:rsidR="00B944B2" w:rsidRPr="00C14DB6" w14:paraId="2812AEE8" w14:textId="77777777" w:rsidTr="00D20538">
        <w:tc>
          <w:tcPr>
            <w:tcW w:w="2328" w:type="dxa"/>
            <w:shd w:val="clear" w:color="auto" w:fill="auto"/>
            <w:vAlign w:val="center"/>
          </w:tcPr>
          <w:p w14:paraId="048339C0" w14:textId="77777777" w:rsidR="00B944B2" w:rsidRPr="00C14DB6" w:rsidRDefault="00B944B2" w:rsidP="00C14DB6">
            <w:pPr>
              <w:pStyle w:val="MDPI42tablebody"/>
            </w:pPr>
          </w:p>
        </w:tc>
        <w:tc>
          <w:tcPr>
            <w:tcW w:w="1383" w:type="dxa"/>
            <w:shd w:val="clear" w:color="auto" w:fill="auto"/>
            <w:vAlign w:val="center"/>
          </w:tcPr>
          <w:p w14:paraId="394B260F" w14:textId="77777777" w:rsidR="00B944B2" w:rsidRPr="00C14DB6" w:rsidRDefault="00B944B2" w:rsidP="00C14DB6">
            <w:pPr>
              <w:pStyle w:val="MDPI42tablebody"/>
            </w:pPr>
            <w:r w:rsidRPr="00C14DB6">
              <w:t>L</w:t>
            </w:r>
          </w:p>
        </w:tc>
        <w:tc>
          <w:tcPr>
            <w:tcW w:w="1382" w:type="dxa"/>
            <w:shd w:val="clear" w:color="auto" w:fill="auto"/>
            <w:vAlign w:val="center"/>
          </w:tcPr>
          <w:p w14:paraId="12FFE6D7" w14:textId="77777777" w:rsidR="00B944B2" w:rsidRPr="00C14DB6" w:rsidRDefault="00B944B2" w:rsidP="00C14DB6">
            <w:pPr>
              <w:pStyle w:val="MDPI42tablebody"/>
            </w:pPr>
            <w:r w:rsidRPr="00C14DB6">
              <w:t>-24</w:t>
            </w:r>
          </w:p>
        </w:tc>
        <w:tc>
          <w:tcPr>
            <w:tcW w:w="1382" w:type="dxa"/>
            <w:shd w:val="clear" w:color="auto" w:fill="auto"/>
            <w:vAlign w:val="center"/>
          </w:tcPr>
          <w:p w14:paraId="7E479454" w14:textId="77777777" w:rsidR="00B944B2" w:rsidRPr="00C14DB6" w:rsidRDefault="00B944B2" w:rsidP="00C14DB6">
            <w:pPr>
              <w:pStyle w:val="MDPI42tablebody"/>
            </w:pPr>
            <w:r w:rsidRPr="00C14DB6">
              <w:t>-6</w:t>
            </w:r>
          </w:p>
        </w:tc>
        <w:tc>
          <w:tcPr>
            <w:tcW w:w="1382" w:type="dxa"/>
            <w:shd w:val="clear" w:color="auto" w:fill="auto"/>
            <w:vAlign w:val="center"/>
          </w:tcPr>
          <w:p w14:paraId="1B124CA2" w14:textId="77777777" w:rsidR="00B944B2" w:rsidRPr="00C14DB6" w:rsidRDefault="00B944B2" w:rsidP="00C14DB6">
            <w:pPr>
              <w:pStyle w:val="MDPI42tablebody"/>
            </w:pPr>
            <w:r w:rsidRPr="00C14DB6">
              <w:t>-14</w:t>
            </w:r>
          </w:p>
        </w:tc>
      </w:tr>
      <w:tr w:rsidR="00B944B2" w:rsidRPr="00C14DB6" w14:paraId="6F4E7950" w14:textId="77777777" w:rsidTr="00D20538">
        <w:tc>
          <w:tcPr>
            <w:tcW w:w="2328" w:type="dxa"/>
            <w:shd w:val="clear" w:color="auto" w:fill="auto"/>
            <w:vAlign w:val="center"/>
          </w:tcPr>
          <w:p w14:paraId="6FCCBBC4" w14:textId="77777777" w:rsidR="00B944B2" w:rsidRPr="00C14DB6" w:rsidRDefault="00B944B2" w:rsidP="00C14DB6">
            <w:pPr>
              <w:pStyle w:val="MDPI42tablebody"/>
            </w:pPr>
            <w:r w:rsidRPr="00C14DB6">
              <w:t>vACC (unilateral)</w:t>
            </w:r>
          </w:p>
        </w:tc>
        <w:tc>
          <w:tcPr>
            <w:tcW w:w="1383" w:type="dxa"/>
            <w:shd w:val="clear" w:color="auto" w:fill="auto"/>
            <w:vAlign w:val="center"/>
          </w:tcPr>
          <w:p w14:paraId="1C4C44F8" w14:textId="77777777" w:rsidR="00B944B2" w:rsidRPr="00C14DB6" w:rsidRDefault="00B944B2" w:rsidP="00C14DB6">
            <w:pPr>
              <w:pStyle w:val="MDPI42tablebody"/>
            </w:pPr>
          </w:p>
        </w:tc>
        <w:tc>
          <w:tcPr>
            <w:tcW w:w="1382" w:type="dxa"/>
            <w:shd w:val="clear" w:color="auto" w:fill="auto"/>
            <w:vAlign w:val="center"/>
          </w:tcPr>
          <w:p w14:paraId="34FE8DD3" w14:textId="77777777" w:rsidR="00B944B2" w:rsidRPr="00C14DB6" w:rsidRDefault="00B944B2" w:rsidP="00C14DB6">
            <w:pPr>
              <w:pStyle w:val="MDPI42tablebody"/>
            </w:pPr>
            <w:r w:rsidRPr="00C14DB6">
              <w:t>-7</w:t>
            </w:r>
          </w:p>
        </w:tc>
        <w:tc>
          <w:tcPr>
            <w:tcW w:w="1382" w:type="dxa"/>
            <w:shd w:val="clear" w:color="auto" w:fill="auto"/>
            <w:vAlign w:val="center"/>
          </w:tcPr>
          <w:p w14:paraId="2493A62E" w14:textId="77777777" w:rsidR="00B944B2" w:rsidRPr="00C14DB6" w:rsidRDefault="00B944B2" w:rsidP="00C14DB6">
            <w:pPr>
              <w:pStyle w:val="MDPI42tablebody"/>
            </w:pPr>
            <w:r w:rsidRPr="00C14DB6">
              <w:t>29</w:t>
            </w:r>
          </w:p>
        </w:tc>
        <w:tc>
          <w:tcPr>
            <w:tcW w:w="1382" w:type="dxa"/>
            <w:shd w:val="clear" w:color="auto" w:fill="auto"/>
            <w:vAlign w:val="center"/>
          </w:tcPr>
          <w:p w14:paraId="4F5AF3F9" w14:textId="77777777" w:rsidR="00B944B2" w:rsidRPr="00C14DB6" w:rsidRDefault="00B944B2" w:rsidP="00C14DB6">
            <w:pPr>
              <w:pStyle w:val="MDPI42tablebody"/>
            </w:pPr>
            <w:r w:rsidRPr="00C14DB6">
              <w:t>-12</w:t>
            </w:r>
          </w:p>
        </w:tc>
      </w:tr>
      <w:tr w:rsidR="00B944B2" w:rsidRPr="00C14DB6" w14:paraId="2B530091" w14:textId="77777777" w:rsidTr="00D20538">
        <w:tc>
          <w:tcPr>
            <w:tcW w:w="2328" w:type="dxa"/>
            <w:shd w:val="clear" w:color="auto" w:fill="auto"/>
            <w:vAlign w:val="center"/>
          </w:tcPr>
          <w:p w14:paraId="3090D472" w14:textId="77777777" w:rsidR="00B944B2" w:rsidRPr="00C14DB6" w:rsidRDefault="00B944B2" w:rsidP="00C14DB6">
            <w:pPr>
              <w:pStyle w:val="MDPI42tablebody"/>
            </w:pPr>
            <w:r w:rsidRPr="00C14DB6">
              <w:t>mPFC (unilateral)</w:t>
            </w:r>
          </w:p>
        </w:tc>
        <w:tc>
          <w:tcPr>
            <w:tcW w:w="1383" w:type="dxa"/>
            <w:shd w:val="clear" w:color="auto" w:fill="auto"/>
            <w:vAlign w:val="center"/>
          </w:tcPr>
          <w:p w14:paraId="3F32DFEC" w14:textId="77777777" w:rsidR="00B944B2" w:rsidRPr="00C14DB6" w:rsidRDefault="00B944B2" w:rsidP="00C14DB6">
            <w:pPr>
              <w:pStyle w:val="MDPI42tablebody"/>
            </w:pPr>
          </w:p>
        </w:tc>
        <w:tc>
          <w:tcPr>
            <w:tcW w:w="1382" w:type="dxa"/>
            <w:shd w:val="clear" w:color="auto" w:fill="auto"/>
            <w:vAlign w:val="center"/>
          </w:tcPr>
          <w:p w14:paraId="1DC537A7" w14:textId="77777777" w:rsidR="00B944B2" w:rsidRPr="00C14DB6" w:rsidRDefault="00B944B2" w:rsidP="00C14DB6">
            <w:pPr>
              <w:pStyle w:val="MDPI42tablebody"/>
            </w:pPr>
            <w:r w:rsidRPr="00C14DB6">
              <w:t>3</w:t>
            </w:r>
          </w:p>
        </w:tc>
        <w:tc>
          <w:tcPr>
            <w:tcW w:w="1382" w:type="dxa"/>
            <w:shd w:val="clear" w:color="auto" w:fill="auto"/>
            <w:vAlign w:val="center"/>
          </w:tcPr>
          <w:p w14:paraId="31F4D01E" w14:textId="77777777" w:rsidR="00B944B2" w:rsidRPr="00C14DB6" w:rsidRDefault="00B944B2" w:rsidP="00C14DB6">
            <w:pPr>
              <w:pStyle w:val="MDPI42tablebody"/>
            </w:pPr>
            <w:r w:rsidRPr="00C14DB6">
              <w:t>54</w:t>
            </w:r>
          </w:p>
        </w:tc>
        <w:tc>
          <w:tcPr>
            <w:tcW w:w="1382" w:type="dxa"/>
            <w:shd w:val="clear" w:color="auto" w:fill="auto"/>
            <w:vAlign w:val="center"/>
          </w:tcPr>
          <w:p w14:paraId="17E0EF8F" w14:textId="77777777" w:rsidR="00B944B2" w:rsidRPr="00C14DB6" w:rsidRDefault="00B944B2" w:rsidP="00C14DB6">
            <w:pPr>
              <w:pStyle w:val="MDPI42tablebody"/>
            </w:pPr>
            <w:r w:rsidRPr="00C14DB6">
              <w:t>6</w:t>
            </w:r>
          </w:p>
        </w:tc>
      </w:tr>
      <w:tr w:rsidR="00B944B2" w:rsidRPr="00C14DB6" w14:paraId="09480FEA" w14:textId="77777777" w:rsidTr="00D20538">
        <w:tc>
          <w:tcPr>
            <w:tcW w:w="2328" w:type="dxa"/>
            <w:shd w:val="clear" w:color="auto" w:fill="auto"/>
            <w:vAlign w:val="center"/>
          </w:tcPr>
          <w:p w14:paraId="2A497652" w14:textId="77777777" w:rsidR="00B944B2" w:rsidRPr="00C14DB6" w:rsidRDefault="00B944B2" w:rsidP="00C14DB6">
            <w:pPr>
              <w:pStyle w:val="MDPI42tablebody"/>
            </w:pPr>
            <w:r w:rsidRPr="00C14DB6">
              <w:t>dlPFC unilateral</w:t>
            </w:r>
          </w:p>
        </w:tc>
        <w:tc>
          <w:tcPr>
            <w:tcW w:w="1383" w:type="dxa"/>
            <w:shd w:val="clear" w:color="auto" w:fill="auto"/>
            <w:vAlign w:val="center"/>
          </w:tcPr>
          <w:p w14:paraId="5F4CF1BE" w14:textId="77777777" w:rsidR="00B944B2" w:rsidRPr="00C14DB6" w:rsidRDefault="00B944B2" w:rsidP="00C14DB6">
            <w:pPr>
              <w:pStyle w:val="MDPI42tablebody"/>
            </w:pPr>
            <w:r w:rsidRPr="00C14DB6">
              <w:t>R</w:t>
            </w:r>
          </w:p>
        </w:tc>
        <w:tc>
          <w:tcPr>
            <w:tcW w:w="1382" w:type="dxa"/>
            <w:shd w:val="clear" w:color="auto" w:fill="auto"/>
            <w:vAlign w:val="center"/>
          </w:tcPr>
          <w:p w14:paraId="25E2EA94" w14:textId="77777777" w:rsidR="00B944B2" w:rsidRPr="00C14DB6" w:rsidRDefault="00B944B2" w:rsidP="00C14DB6">
            <w:pPr>
              <w:pStyle w:val="MDPI42tablebody"/>
            </w:pPr>
            <w:r w:rsidRPr="00C14DB6">
              <w:t>37</w:t>
            </w:r>
          </w:p>
        </w:tc>
        <w:tc>
          <w:tcPr>
            <w:tcW w:w="1382" w:type="dxa"/>
            <w:shd w:val="clear" w:color="auto" w:fill="auto"/>
            <w:vAlign w:val="center"/>
          </w:tcPr>
          <w:p w14:paraId="0D4E0078" w14:textId="77777777" w:rsidR="00B944B2" w:rsidRPr="00C14DB6" w:rsidRDefault="00B944B2" w:rsidP="00C14DB6">
            <w:pPr>
              <w:pStyle w:val="MDPI42tablebody"/>
            </w:pPr>
            <w:r w:rsidRPr="00C14DB6">
              <w:t>34</w:t>
            </w:r>
          </w:p>
        </w:tc>
        <w:tc>
          <w:tcPr>
            <w:tcW w:w="1382" w:type="dxa"/>
            <w:shd w:val="clear" w:color="auto" w:fill="auto"/>
            <w:vAlign w:val="center"/>
          </w:tcPr>
          <w:p w14:paraId="0474A0C3" w14:textId="77777777" w:rsidR="00B944B2" w:rsidRPr="00C14DB6" w:rsidRDefault="00B944B2" w:rsidP="00C14DB6">
            <w:pPr>
              <w:pStyle w:val="MDPI42tablebody"/>
            </w:pPr>
            <w:r w:rsidRPr="00C14DB6">
              <w:t>35</w:t>
            </w:r>
          </w:p>
        </w:tc>
      </w:tr>
      <w:tr w:rsidR="00B944B2" w:rsidRPr="00C14DB6" w14:paraId="23D71392" w14:textId="77777777" w:rsidTr="00D20538">
        <w:tc>
          <w:tcPr>
            <w:tcW w:w="2328" w:type="dxa"/>
            <w:tcBorders>
              <w:bottom w:val="single" w:sz="8" w:space="0" w:color="auto"/>
            </w:tcBorders>
            <w:shd w:val="clear" w:color="auto" w:fill="auto"/>
            <w:vAlign w:val="center"/>
          </w:tcPr>
          <w:p w14:paraId="2C974AE4" w14:textId="77777777" w:rsidR="00B944B2" w:rsidRPr="00C14DB6" w:rsidRDefault="00B944B2" w:rsidP="00C14DB6">
            <w:pPr>
              <w:pStyle w:val="MDPI42tablebody"/>
            </w:pPr>
          </w:p>
        </w:tc>
        <w:tc>
          <w:tcPr>
            <w:tcW w:w="1383" w:type="dxa"/>
            <w:tcBorders>
              <w:bottom w:val="single" w:sz="8" w:space="0" w:color="auto"/>
            </w:tcBorders>
            <w:shd w:val="clear" w:color="auto" w:fill="auto"/>
            <w:vAlign w:val="center"/>
          </w:tcPr>
          <w:p w14:paraId="4320E039" w14:textId="77777777" w:rsidR="00B944B2" w:rsidRPr="00C14DB6" w:rsidRDefault="00B944B2" w:rsidP="00C14DB6">
            <w:pPr>
              <w:pStyle w:val="MDPI42tablebody"/>
            </w:pPr>
            <w:r w:rsidRPr="00C14DB6">
              <w:t>L</w:t>
            </w:r>
          </w:p>
        </w:tc>
        <w:tc>
          <w:tcPr>
            <w:tcW w:w="1382" w:type="dxa"/>
            <w:tcBorders>
              <w:bottom w:val="single" w:sz="8" w:space="0" w:color="auto"/>
            </w:tcBorders>
            <w:shd w:val="clear" w:color="auto" w:fill="auto"/>
            <w:vAlign w:val="center"/>
          </w:tcPr>
          <w:p w14:paraId="5F46CAEA" w14:textId="77777777" w:rsidR="00B944B2" w:rsidRPr="00C14DB6" w:rsidRDefault="00B944B2" w:rsidP="00C14DB6">
            <w:pPr>
              <w:pStyle w:val="MDPI42tablebody"/>
            </w:pPr>
            <w:r w:rsidRPr="00C14DB6">
              <w:t>-37</w:t>
            </w:r>
          </w:p>
        </w:tc>
        <w:tc>
          <w:tcPr>
            <w:tcW w:w="1382" w:type="dxa"/>
            <w:tcBorders>
              <w:bottom w:val="single" w:sz="8" w:space="0" w:color="auto"/>
            </w:tcBorders>
            <w:shd w:val="clear" w:color="auto" w:fill="auto"/>
            <w:vAlign w:val="center"/>
          </w:tcPr>
          <w:p w14:paraId="39E3558A" w14:textId="77777777" w:rsidR="00B944B2" w:rsidRPr="00C14DB6" w:rsidRDefault="00B944B2" w:rsidP="00C14DB6">
            <w:pPr>
              <w:pStyle w:val="MDPI42tablebody"/>
            </w:pPr>
            <w:r w:rsidRPr="00C14DB6">
              <w:t>44</w:t>
            </w:r>
          </w:p>
        </w:tc>
        <w:tc>
          <w:tcPr>
            <w:tcW w:w="1382" w:type="dxa"/>
            <w:tcBorders>
              <w:bottom w:val="single" w:sz="8" w:space="0" w:color="auto"/>
            </w:tcBorders>
            <w:shd w:val="clear" w:color="auto" w:fill="auto"/>
            <w:vAlign w:val="center"/>
          </w:tcPr>
          <w:p w14:paraId="61556380" w14:textId="77777777" w:rsidR="00B944B2" w:rsidRPr="00C14DB6" w:rsidRDefault="00B944B2" w:rsidP="00C14DB6">
            <w:pPr>
              <w:pStyle w:val="MDPI42tablebody"/>
            </w:pPr>
            <w:r w:rsidRPr="00C14DB6">
              <w:t>37</w:t>
            </w:r>
          </w:p>
        </w:tc>
      </w:tr>
    </w:tbl>
    <w:p w14:paraId="3752F1AA" w14:textId="6F693AE0" w:rsidR="00B944B2" w:rsidRPr="00C14DB6" w:rsidRDefault="00B944B2" w:rsidP="00C14DB6">
      <w:pPr>
        <w:pStyle w:val="MDPI43tablefooter"/>
        <w:spacing w:after="240"/>
        <w:ind w:left="0"/>
      </w:pPr>
      <w:r w:rsidRPr="00C14DB6">
        <w:rPr>
          <w:b/>
          <w:bCs/>
        </w:rPr>
        <w:t>Note</w:t>
      </w:r>
      <w:r w:rsidRPr="00C14DB6">
        <w:t>. Abbreviations: vACC = ventral anterior cingulate cortex, mPFC = medial prefrontal cortex, dlPFC = dorsolateral prefrontal cortex.</w:t>
      </w:r>
    </w:p>
    <w:p w14:paraId="040DC70D" w14:textId="78C4F4F3" w:rsidR="00B944B2" w:rsidRPr="00C14DB6" w:rsidRDefault="004F33C9" w:rsidP="00C14DB6">
      <w:pPr>
        <w:pStyle w:val="MDPI23heading3"/>
        <w:spacing w:before="240"/>
        <w:ind w:left="0"/>
      </w:pPr>
      <w:r w:rsidRPr="00C14DB6">
        <w:t xml:space="preserve">2.6.2. </w:t>
      </w:r>
      <w:r w:rsidR="00B944B2" w:rsidRPr="00C14DB6">
        <w:t>Acquisition, pre-processing and calculation of rsFC</w:t>
      </w:r>
    </w:p>
    <w:p w14:paraId="1F99EB5B" w14:textId="77777777" w:rsidR="00B944B2" w:rsidRPr="00C14DB6" w:rsidRDefault="00B944B2" w:rsidP="00C14DB6">
      <w:pPr>
        <w:pStyle w:val="MDPI31text"/>
        <w:ind w:left="0"/>
      </w:pPr>
      <w:r w:rsidRPr="00C14DB6">
        <w:t xml:space="preserve">Functional and anatomical data were acquired on a 3T TIM Trio Scanner (Siemens Medical Systems, Erlangen, Germany) at the Medical University, Vienna. Anatomical images were acquired using an MPRAGE sequence (3D Magnetisation Prepared Rapid Gradient Echo: 1x1x1.1 mm resolution, TR=2300 ms, TE=4.21 ms, flip angle 9°, inversion time 900 ms, 160 sagittal slices). For the rs-scans, a gradient-echo EPI sequence (with distortion correction; 23 interleaved slices, TE/TR=38/1800 ms, voxel size 1.5x1.5x3 mm, 90° flip angle; bandwidth=1446Hz/pixel, 1.8 mm slice gap) was applied, acquiring 167 images in an axial plane for each subject. These settings lead to a high spatial resolution, which, in </w:t>
      </w:r>
      <w:r w:rsidRPr="00C14DB6">
        <w:lastRenderedPageBreak/>
        <w:t xml:space="preserve">combination with low slice thickness, helps avoid signal dephasing in the ventral brain </w:t>
      </w:r>
      <w:r w:rsidRPr="00C14DB6">
        <w:fldChar w:fldCharType="begin"/>
      </w:r>
      <w:r w:rsidRPr="00C14DB6">
        <w:instrText xml:space="preserve"> ADDIN ZOTERO_ITEM CSL_CITATION {"citationID":"kgNoChAY","properties":{"formattedCitation":"[39,40]","plainCitation":"[39,40]","noteIndex":0},"citationItems":[{"id":447,"uris":["http://zotero.org/groups/4860232/items/NAVX89JH"],"itemData":{"id":447,"type":"article-journal","abstract":"Objectives: To quantify the gain in time-series SNR that can be achieved in the amygdala by reducing EPI voxel size, and to assess the extent to which this advantage is carried through to statistical significance in a group fMRI study, using a cognitive task to trigger task-independent deactivation of anterior medial temporal structures. Materials and methods: Two groups of seven subjects were posed number-series tasks to induce deactivation of the Default Mode network. This is known from PET work to include the amygdala, which lies in a region of high magnetic field gradient. In 3 T imaging, one group was studied with high resolution EPI with 6 μl voxels, the other with lower resolution EPI with 17 μl voxels. Field maps were acquired to allow field gradients in relevant ROIs to be assessed. Results: Time-series SNR was 45% higher in the amygdala in the high resolution EPI data than in the low resolution data. In activation results, whilst there was good agreement between other areas, the involvement of the amygdala could only be demonstrated in the high resolution data. Conclusion: We find that reduction in signal dephasing afforded by high resolution EPI is realized as a substantial increase in SNR and BOLD sensitivity in group fMRI data. This has allowed the first demonstration of the involvement of the amygdala in the Default Mode in fMRI. © 2008 ESMRMB.","container-title":"Magma (New York, N.Y.)","DOI":"10.1007/S10334-008-0128-0","ISSN":"0968-5243","issue":"4","note":"PMID: 18661163\npublisher: MAGMA","page":"279-290","title":"The impact of EPI voxel size on SNR and BOLD sensitivity in the anterior medio-temporal lobe: a comparative group study of deactivation of the Default Mode","volume":"21","author":[{"family":"Robinson","given":"S"},{"family":"Pripfl","given":"J"},{"family":"Bauer","given":"H"},{"family":"Moser","given":"E"}],"issued":{"date-parts":[["2008",8]]}}},{"id":444,"uris":["http://zotero.org/groups/4860232/items/6GU9Z6RH"],"itemData":{"id":444,"type":"article-journal","abstract":"Recent brain imaging work has expanded our understanding of the mechanisms of perceptual, cognitive, and motor functions in human subjects, but research into the cerebral control of emotional and motivational function is at a much earlier stage. Important concepts and theories of emotion are briefly introduced, as are research designs and multimodal approaches to answering the central questions in the field. We provide a detailed inspection of the methodological and technical challenges in assessing the cerebral correlates of emotional activation, perception, learning, memory, and emotional regulation behavior in healthy humans. fMRI is particularly challenging in structures such as the amygdala as it is affected by susceptibility-related signal loss, image distortion, physiological and motion artifacts and colocalized Resting State Networks (RSNs). We review how these problems can be mitigated by using optimized echo-planar imaging (EPI) parameters, alternative MR sequences, and correction schemes. High-quality data can be acquired rapidly in these problematic regions with gradient compensated multiecho EPI or high resolution EPI with parallel imaging and optimum gradient directions, combined with distortion correction. Although neuroimaging studies of emotion encounter many difficulties regarding the limitations of measurement precision, research design, and strategies of validating neuropsychological emotion constructs, considerable improvement in data quality and sensitivity to subtle effects can be achieved. The methods outlined offer the prospect for fMRI studies of emotion to provide more sensitive, reliable, and representative models of measurement that systematically relate the dynamics of emotional regulation behavior with topographically distinct patterns of activity in the brain. This will provide additional information as an aid to assessment, categorization, and treatment of patients with emotional and personality disorders. © 2009 Humana Press.","container-title":"Neuromethods","DOI":"10.1007/978-1-60327-919-2_14","ISSN":"08932336","note":"publisher: Humana Press, Totowa, NJ\nISBN: 9781603279185","page":"411-456","title":"fMRI of Emotion","volume":"41","author":[{"family":"Robinson","given":"Simon"},{"family":"Moser","given":"Ewald"},{"family":"Peper","given":"Martin"}],"issued":{"date-parts":[["2009"]]}}}],"schema":"https://github.com/citation-style-language/schema/raw/master/csl-citation.json"} </w:instrText>
      </w:r>
      <w:r w:rsidRPr="00C14DB6">
        <w:fldChar w:fldCharType="separate"/>
      </w:r>
      <w:r w:rsidRPr="00C14DB6">
        <w:t>[39,40]</w:t>
      </w:r>
      <w:r w:rsidRPr="00C14DB6">
        <w:fldChar w:fldCharType="end"/>
      </w:r>
      <w:r w:rsidRPr="00C14DB6">
        <w:t>. Thus, the applied parameters lead to high sensitivity and specificity, especially around the amygdala.</w:t>
      </w:r>
    </w:p>
    <w:p w14:paraId="6EE6CD49" w14:textId="77777777" w:rsidR="00B944B2" w:rsidRPr="00C14DB6" w:rsidRDefault="00B944B2" w:rsidP="00C14DB6">
      <w:pPr>
        <w:pStyle w:val="MDPI31text"/>
        <w:ind w:left="0"/>
      </w:pPr>
      <w:r w:rsidRPr="00C14DB6">
        <w:t xml:space="preserve">Functional data was processed using SPM12 (Wellcome Trust Centre for Neuroimaging, London, http://www.fil.ion.ucl.ac.uk/spm/software/spm12/) implemented in Matlab (Version R2019a; Mathworks Inc., Sherborn, MA, USA). The first four volumes were discarded for each participant before further processing. Then images were realigned to the initial image followed by alignment to the mean EPI. The resulting mean EPI image of each subject was then spatially normalized to the ICBM-MNI152 template for each participant </w:t>
      </w:r>
      <w:r w:rsidRPr="00C14DB6">
        <w:fldChar w:fldCharType="begin"/>
      </w:r>
      <w:r w:rsidRPr="00C14DB6">
        <w:instrText xml:space="preserve"> ADDIN ZOTERO_ITEM CSL_CITATION {"citationID":"KGyshH7w","properties":{"formattedCitation":"[41]","plainCitation":"[41]","noteIndex":0},"citationItems":[{"id":443,"uris":["http://zotero.org/groups/4860232/items/3IWNDPMP"],"itemData":{"id":443,"type":"article-journal","abstract":"Purpose: With the advent of noninvasive neuroimaging, a plethora of digital human neuroanatomical atlases has been developed. The accuracy of these atlases is constrained by the resolution and signal-gathering powers of available imaging equipment. In an attempt to circumvent these limitations and to produce a high resolution in vivo human neuroanatomy, we investigated the usefulness of intrasubject registration for post hoe MR signal averaging. Method: Twenty-seven high resolution (7 x 0.78 and 20 x 1.0 mm3) T1-weighted volumes were acquired from a single subject, along with 12 double echo T2/proton density-weighted volumes. These volumes were automatically registered to a common stereotaxic space in which they were subsampled and intensity averaged. The resulting images were examined for anatomical quality and usefulness for other analytical techniques. Results: The quality of the resulting image from the combination of as few as five T1 volumes was visibly enhanced. The signal-to-noise ratio was expected to increase as the root of the number of contributing scans to 5.2, n = 27. The improvement in the n = 27 average was great enough that fine anatomical details, such as thalamic subnuclei and the gray bridges between the caudate and putamen, became crisply defined. The gray/white matter boundaries were also enhanced, as was the visibility of any finer structure that was surrounded by tissue of varying T1 intensity. The T2 and proton density average images were also of higher quality than single scans, but the improvement was not as dramatic as that of the T1 volumes. Conclusion: Overall, the enhanced signal in the averaged images resulted in higher quality anatomical images, and the data lent themselves to several postprocessing techniques. The high quality of the enhanced images permits novel uses of the data and extends the possibilities for in vivo human neuroanatomy.","container-title":"Journal of computer assisted tomography","DOI":"10.1097/00004728-199803000-00032","ISSN":"0363-8715","issue":"2","note":"PMID: 9530404\npublisher: J Comput Assist Tomogr","page":"324-333","title":"Enhancement of MR images using registration for signal averaging","volume":"22","author":[{"family":"Holmes","given":"C. J."},{"family":"Hoge","given":"R."},{"family":"Collins","given":"L."},{"family":"Woods","given":"R."},{"family":"Toga","given":"A. W."},{"family":"Evans","given":"A. C."}],"issued":{"date-parts":[["1998"]]}}}],"schema":"https://github.com/citation-style-language/schema/raw/master/csl-citation.json"} </w:instrText>
      </w:r>
      <w:r w:rsidRPr="00C14DB6">
        <w:fldChar w:fldCharType="separate"/>
      </w:r>
      <w:r w:rsidRPr="00C14DB6">
        <w:t>[41]</w:t>
      </w:r>
      <w:r w:rsidRPr="00C14DB6">
        <w:fldChar w:fldCharType="end"/>
      </w:r>
      <w:r w:rsidRPr="00C14DB6">
        <w:t xml:space="preserve"> with a “unified segmentation” approach </w:t>
      </w:r>
      <w:r w:rsidRPr="00C14DB6">
        <w:fldChar w:fldCharType="begin"/>
      </w:r>
      <w:r w:rsidRPr="00C14DB6">
        <w:instrText xml:space="preserve"> ADDIN ZOTERO_ITEM CSL_CITATION {"citationID":"w3ZDSOEW","properties":{"formattedCitation":"[42]","plainCitation":"[42]","noteIndex":0},"citationItems":[{"id":442,"uris":["http://zotero.org/groups/4860232/items/ZGP9HNTG"],"itemData":{"id":442,"type":"article-journal","abstract":"A probabilistic framework is presented that enables image registration, tissue classification, and bias correction to be combined within the same generative model. A derivation of a log-likelihood objective function for the unified model is provided. The model is based on a mixture of Gaussians and is extended to incorporate a smooth intensity variation and nonlinear registration with tissue probability maps. A strategy for optimising the model parameters is described, along with the requisite partial derivatives of the objective function. © 2005 Elsevier Inc. All rights reserved.","container-title":"NeuroImage","DOI":"10.1016/J.NEUROIMAGE.2005.02.018","ISSN":"1053-8119","issue":"3","note":"PMID: 15955494\npublisher: Neuroimage","page":"839-851","title":"Unified segmentation","volume":"26","author":[{"family":"Ashburner","given":"John"},{"family":"Friston","given":"Karl J."}],"issued":{"date-parts":[["2005",7,1]]}}}],"schema":"https://github.com/citation-style-language/schema/raw/master/csl-citation.json"} </w:instrText>
      </w:r>
      <w:r w:rsidRPr="00C14DB6">
        <w:fldChar w:fldCharType="separate"/>
      </w:r>
      <w:r w:rsidRPr="00C14DB6">
        <w:t>[42]</w:t>
      </w:r>
      <w:r w:rsidRPr="00C14DB6">
        <w:fldChar w:fldCharType="end"/>
      </w:r>
      <w:r w:rsidRPr="00C14DB6">
        <w:t xml:space="preserve">. The deformation resulting from this method was applied to the individual EPI volumes which were further resampled to 2mm isotropic. Smoothing was done by a 5mm full-width-at-half-maximum Gaussian kernel to enhance signal-to-noise-ratio as well as to compensate for anatomical variations. The time-course of each ROI was extracted for each participant by computing the first eigenvariate of all voxels within a 6mm sphere around the respective ROI-coordinate, as done previously </w:t>
      </w:r>
      <w:r w:rsidRPr="00C14DB6">
        <w:fldChar w:fldCharType="begin"/>
      </w:r>
      <w:r w:rsidRPr="00C14DB6">
        <w:instrText xml:space="preserve"> ADDIN ZOTERO_ITEM CSL_CITATION {"citationID":"mOVQsuL5","properties":{"formattedCitation":"[38]","plainCitation":"[38]","noteIndex":0},"citationItems":[{"id":423,"uris":["http://zotero.org/groups/4860232/items/LC3R8LAN"],"itemData":{"id":423,"type":"article-journal","abstract":"Personality is associated with variation in all kinds of mental faculties, including affective, social, executive, and memory functioning. The intrinsic dynamics of neural networks underlying these mental functions are reflected in their functional connectivity at rest (RSFC). We, therefore, aimed to probe whether connectivity in functional networks allows predicting individual scores of the five-factor personality model and potential gender differences thereof. We assessed nine meta-analytically derived functional networks, representing social, affective, executive, and mnemonic systems. RSFC of all networks was computed in a sample of 210 males and 210 well-matched females and in a replication sample of 155 males and 155 females. Personality scores were predicted using relevance vector machine in both samples. Cross-validation prediction accuracy was defined as the correlation between true and predicted scores. RSFC within networks representing social, affective, mnemonic, and executive systems significantly predicted self-reported levels of Extraversion, Neuroticism, Agreeableness, and Openness. RSFC patterns of most networks, however, predicted personality traits only either in males or in females. Personality traits can be predicted by patterns of RSFC in specific functional brain networks, providing new insights into the neurobiology of personality. However, as most associations were gender-specific, RSFC–personality relations should not be considered independently of gender.","container-title":"Brain structure &amp; function","DOI":"10.1007/S00429-018-1651-Z","ISSN":"1863-2661","issue":"6","note":"PMID: 29572625\npublisher: Brain Struct Funct","page":"2699-2719","title":"Predicting personality from network-based resting-state functional connectivity","volume":"223","author":[{"family":"Nostro","given":"Alessandra D."},{"family":"Müller","given":"Veronika I."},{"family":"Varikuti","given":"Deepthi P."},{"family":"Pläschke","given":"Rachel N."},{"family":"Hoffstaedter","given":"Felix"},{"family":"Langner","given":"Robert"},{"family":"Patil","given":"Kaustubh R."},{"family":"Eickhoff","given":"Simon B."}],"issued":{"date-parts":[["2018",7,1]]}}}],"schema":"https://github.com/citation-style-language/schema/raw/master/csl-citation.json"} </w:instrText>
      </w:r>
      <w:r w:rsidRPr="00C14DB6">
        <w:fldChar w:fldCharType="separate"/>
      </w:r>
      <w:r w:rsidRPr="00C14DB6">
        <w:t>[38]</w:t>
      </w:r>
      <w:r w:rsidRPr="00C14DB6">
        <w:fldChar w:fldCharType="end"/>
      </w:r>
      <w:r w:rsidRPr="00C14DB6">
        <w:t>.</w:t>
      </w:r>
      <w:r w:rsidRPr="00C14DB6" w:rsidDel="00E83A36">
        <w:t xml:space="preserve"> </w:t>
      </w:r>
      <w:r w:rsidRPr="00C14DB6">
        <w:t xml:space="preserve">These time-courses were further denoised (to reduce spurious correlations, </w:t>
      </w:r>
      <w:r w:rsidRPr="00C14DB6">
        <w:fldChar w:fldCharType="begin"/>
      </w:r>
      <w:r w:rsidRPr="00C14DB6">
        <w:instrText xml:space="preserve"> ADDIN ZOTERO_ITEM CSL_CITATION {"citationID":"aeyIliED","properties":{"formattedCitation":"[43]","plainCitation":"[43]","noteIndex":0},"citationItems":[{"id":441,"uris":["http://zotero.org/groups/4860232/items/5AQK9SQV"],"itemData":{"id":441,"type":"article-journal","abstract":"Resting-state data sets contain coherent fluctuations unrelated to neural processes originating from residual motion artefacts, respiration and cardiac action. Such confounding effects may introduce correlations and cause an overestimation of functional connectivity strengths. In this study we applied several multidimensional linear regression approaches to remove artificial coherencies and examined the impact of preprocessing on sensitivity and specificity of functional connectivity results in simulated data and resting-state data sets from 40 subjects. Furthermore, we aimed at clarifying possible causes of anticorrelations and test the hypothesis that anticorrelations are introduced via certain preprocessing approaches, with particular focus on the effects of regression against the global signal. Our results show that preprocessing in general greatly increased connection specificity, in particular correction for global signal fluctuations almost doubled connection specificity. However, widespread anticorrelated networks were only found when regression against the global signal was applied. Results in simulated data sets compared with result of human data strongly suggest that anticorrelations are indeed introduced by global signal regression and should therefore be interpreted very carefully. In addition, global signal regression may also reduce the sensitivity for detecting true correlations, i.e. increase the number of false negatives. Concluding from our results we suggest that is highly recommended to apply correction against realignment parameters, white matter and ventricular time courses, as well as the global signal to maximize the specificity of positive resting-state correlations. © 2009 Elsevier Inc. All rights reserved.","container-title":"NeuroImage","DOI":"10.1016/J.NEUROIMAGE.2009.05.005","ISSN":"1095-9572","issue":"4","note":"PMID: 19442749\npublisher: Neuroimage","page":"1408-1416","title":"Correlations and anticorrelations in resting-state functional connectivity MRI: a quantitative comparison of preprocessing strategies","volume":"47","author":[{"family":"Weissenbacher","given":"Andreas"},{"family":"Kasess","given":"Christian"},{"family":"Gerstl","given":"Florian"},{"family":"Lanzenberger","given":"Rupert"},{"family":"Moser","given":"Ewald"},{"family":"Windischberger","given":"Christian"}],"issued":{"date-parts":[["2009",10,1]]}}}],"schema":"https://github.com/citation-style-language/schema/raw/master/csl-citation.json"} </w:instrText>
      </w:r>
      <w:r w:rsidRPr="00C14DB6">
        <w:fldChar w:fldCharType="separate"/>
      </w:r>
      <w:r w:rsidRPr="00C14DB6">
        <w:t>[43]</w:t>
      </w:r>
      <w:r w:rsidRPr="00C14DB6">
        <w:fldChar w:fldCharType="end"/>
      </w:r>
      <w:r w:rsidRPr="00C14DB6">
        <w:t xml:space="preserve">), by excluding variance explained by the following variables: (a) the six motion parameters derived from the image realignment and (b) their first derivatives, as well as (c) white matter (WM) and cerebral blood flow (CBF) intensity (each tissue-signal-class related signal separately). All these nuisance variables entered the model as first and second order terms to increase sensitivity and specificity of the analyses as well as to detect valid correlations and anti-correlations during rest </w:t>
      </w:r>
      <w:r w:rsidRPr="00C14DB6">
        <w:fldChar w:fldCharType="begin"/>
      </w:r>
      <w:r w:rsidRPr="00C14DB6">
        <w:instrText xml:space="preserve"> ADDIN ZOTERO_ITEM CSL_CITATION {"citationID":"CsdjZxv5","properties":{"formattedCitation":"[44]","plainCitation":"[44]","noteIndex":0},"citationItems":[{"id":440,"uris":["http://zotero.org/groups/4860232/items/A5XQ9SQF"],"itemData":{"id":440,"type":"article-journal","abstract":"Several recent reports in large, independent samples have demonstrated the influence of motion artifact on resting-state functional connectivity MRI (rsfc-MRI). Standard rsfc-MRI preprocessing typically includes regression of confounding signals and band-pass filtering. However, substantial heterogeneity exists in how these techniques are implemented across studies, and no prior study has examined the effect of differing approaches for the control of motion-induced artifacts. To better understand how in-scanner head motion affects rsfc-MRI data, we describe the spatial, temporal, and spectral characteristics of motion artifacts in a sample of 348 adolescents. Analyses utilize a novel approach for describing head motion on a voxelwise basis. Next, we systematically evaluate the efficacy of a range of confound regression and filtering techniques for the control of motion-induced artifacts. Results reveal that the effectiveness of preprocessing procedures on the control of motion is heterogeneous, and that improved preprocessing provides a substantial benefit beyond typical procedures. These results demonstrate that the effect of motion on rsfc-MRI can be substantially attenuated through improved preprocessing procedures, but not completely removed. © 2012 Elsevier Inc.","container-title":"NeuroImage","DOI":"10.1016/J.NEUROIMAGE.2012.08.052","ISSN":"1095-9572","issue":"1","note":"PMID: 22926292\npublisher: Neuroimage","page":"240-256","title":"An improved framework for confound regression and filtering for control of motion artifact in the preprocessing of resting-state functional connectivity data","volume":"64","author":[{"family":"Satterthwaite","given":"Theodore D."},{"family":"Elliott","given":"Mark A."},{"family":"Gerraty","given":"Raphael T."},{"family":"Ruparel","given":"Kosha"},{"family":"Loughead","given":"James"},{"family":"Calkins","given":"Monica E."},{"family":"Eickhoff","given":"Simon B."},{"family":"Hakonarson","given":"Hakon"},{"family":"Gur","given":"Ruben C."},{"family":"Gur","given":"Raquel E."},{"family":"Wolf","given":"Daniel H."}],"issued":{"date-parts":[["2013",1,1]]}}}],"schema":"https://github.com/citation-style-language/schema/raw/master/csl-citation.json"} </w:instrText>
      </w:r>
      <w:r w:rsidRPr="00C14DB6">
        <w:fldChar w:fldCharType="separate"/>
      </w:r>
      <w:r w:rsidRPr="00C14DB6">
        <w:t>[44]</w:t>
      </w:r>
      <w:r w:rsidRPr="00C14DB6">
        <w:fldChar w:fldCharType="end"/>
      </w:r>
      <w:r w:rsidRPr="00C14DB6">
        <w:t xml:space="preserve">. Data was band-pass filtered with a cut-off frequency of 0.01 and 0.08Hz and rsFC of each participant was adjusted for the effect of age via a regression analysis to account for even subtle changes in brain architecture (see also </w:t>
      </w:r>
      <w:r w:rsidRPr="00C14DB6">
        <w:fldChar w:fldCharType="begin"/>
      </w:r>
      <w:r w:rsidRPr="00C14DB6">
        <w:instrText xml:space="preserve"> ADDIN ZOTERO_ITEM CSL_CITATION {"citationID":"rxUBpQl5","properties":{"formattedCitation":"[5,24]","plainCitation":"[5,24]","noteIndex":0},"citationItems":[{"id":513,"uris":["http://zotero.org/groups/4860232/items/9QHAFXZJ"],"itemData":{"id":513,"type":"article-journal","abstract":"Stress is present in everyday life in various forms and situations. Two stressors frequently investigated are physiological and psychosocial stress. Besides similar subjective and hormonal responses, it has been suggested that they also share common neural substrates. The current study used activation-likelihood-estimation meta-analysis to test this assumption by integrating results of previous neuroimaging studies on stress processing. Reported results are cluster-level FWE corrected. The inferior frontal gyrus (IFG) and the anterior insula (AI) were the only regions that demonstrated overlapping activation for both stressors. Analysis of physiological stress showed consistent activation of cognitive and affective components of pain processing such as the insula, striatum, or the middle cingulate cortex. Contrarily, analysis across psychosocial stress revealed consistent activation of the right superior temporal gyrus and deactivation of the striatum. Notably, parts of the striatum appeared to be functionally specified: the dorsal striatum was activated in physiological stress, whereas the ventral striatum was deactivated in psychosocial stress. Additional functional connectivity and decoding analyses further characterized this functional heterogeneity and revealed higher associations of the dorsal striatum with motor regions and of the ventral striatum with reward processing. Based on our meta-analytic approach, activation of the IFG and the AI seems to indicate a global neural stress reaction. While physiological stress activates a motoric fight-or-flight reaction, during psychosocial stress attention is shifted towards emotion regulation and goal-directed behavior, and reward processing is reduced. Our results show the significance of differentiating physiological and psychosocial stress in neural engagement. Furthermore, the assessment of deactivations in addition to activations in stress research is highly recommended.","container-title":"NeuroImage","DOI":"10.1016/J.NEUROIMAGE.2015.06.059","ISSN":"1095-9572","note":"PMID: 26123376\npublisher: Neuroimage","page":"235-251","title":"Psychosocial versus physiological stress - Meta-analyses on deactivations and activations of the neural correlates of stress reactions","volume":"119","author":[{"family":"Kogler","given":"Lydia"},{"family":"Müller","given":"Veronika I."},{"family":"Chang","given":"Amy"},{"family":"Eickhoff","given":"Simon B."},{"family":"Fox","given":"Peter T."},{"family":"Gur","given":"Ruben C."},{"family":"Derntl","given":"Birgit"}],"issued":{"date-parts":[["2015",10,1]]}}},{"id":509,"uris":["http://zotero.org/groups/4860232/items/9F9UT7X4"],"itemData":{"id":509,"type":"article-journal","abstract":"Human amygdalae are involved in various behavioral functions such as affective and stress processing. For these behavioral functions, as well as for psychophysiological arousal including cortisol release, sex differences are reported.Here, we assessed cortisol levels and resting-state functional connectivity (rsFC) of left and right amygdalae in 81 healthy participants (42 women) to investigate potential modulation of amygdala rsFC by sex and cortisol concentration.Our analyses revealed that rsFC of the left amygdala significantly differed between women and men: Women showed stronger rsFC than men between the left amygdala and left middle temporal gyrus, inferior frontal gyrus, postcentral gyrus and hippocampus, regions involved in face processing, inner-speech, fear and pain processing. No stronger connections were detected for men and no sex difference emerged for right amygdala rsFC. Also, an interaction of sex and cortisol appeared: In women, cortisol was negatively associated with rsFC of the amygdalae with striatal regions, mid-orbital frontal gyrus, anterior cingulate gyrus, middle and superior frontal gyri, supplementary motor area and the parietal-occipital sulcus. Contrarily in men, positive associations of cortisol with rsFC of the left amygdala and these structures were observed. Functional decoding analyses revealed an association of the amygdalae and these regions with emotion, reward and memory processing, as well as action execution.Our results suggest that functional connectivity of the amygdalae as well as the regulatory effect of cortisol on brain networks differs between women and men. These sex-differences and the mediating and sex-dependent effect of cortisol on brain communication systems should be taken into account in affective and stress-related neuroimaging research. Thus, more studies including both sexes are required.","container-title":"NeuroImage","DOI":"10.1016/J.NEUROIMAGE.2016.03.064","ISSN":"1095-9572","note":"PMID: 27039701\npublisher: Neuroimage","page":"410-423","title":"Sex differences in the functional connectivity of the amygdalae in association with cortisol","volume":"134","author":[{"family":"Kogler","given":"Lydia"},{"family":"Müller","given":"Veronika I."},{"family":"Seidel","given":"Eva Maria"},{"family":"Boubela","given":"Roland"},{"family":"Kalcher","given":"Klaudius"},{"family":"Moser","given":"Ewald"},{"family":"Habel","given":"Ute"},{"family":"Gur","given":"Ruben C."},{"family":"Eickhoff","given":"Simon B."},{"family":"Derntl","given":"Birgit"}],"issued":{"date-parts":[["2016",7,1]]}}}],"schema":"https://github.com/citation-style-language/schema/raw/master/csl-citation.json"} </w:instrText>
      </w:r>
      <w:r w:rsidRPr="00C14DB6">
        <w:fldChar w:fldCharType="separate"/>
      </w:r>
      <w:r w:rsidRPr="00C14DB6">
        <w:t>[5,24]</w:t>
      </w:r>
      <w:r w:rsidRPr="00C14DB6">
        <w:fldChar w:fldCharType="end"/>
      </w:r>
      <w:r w:rsidRPr="00C14DB6">
        <w:t>). Linear (Pearson) correlation coefficients of the resulting time-series between the time-series of the left and right amygdala and the time-series of the four frontal ROIs (unilateral vACC and mPFC, bilateral dlPFC, see Table 1) were calculated to quantify rsFC, resulting in eight rsFC assessments. This was done for each of the four rs-scans (T1-T4). The resulting correlation coefficients were Fisher z-transformed for building an approximately normal distributed variable for further statistical analyses.</w:t>
      </w:r>
    </w:p>
    <w:p w14:paraId="275E5172" w14:textId="525D31EC" w:rsidR="00B944B2" w:rsidRPr="00C14DB6" w:rsidRDefault="004F33C9" w:rsidP="00C14DB6">
      <w:pPr>
        <w:pStyle w:val="MDPI23heading3"/>
        <w:spacing w:before="240"/>
        <w:ind w:left="0"/>
      </w:pPr>
      <w:r w:rsidRPr="00C14DB6">
        <w:t xml:space="preserve">2.6.3. </w:t>
      </w:r>
      <w:r w:rsidR="00B944B2" w:rsidRPr="00C14DB6">
        <w:t>Statistical analyses of rsFC</w:t>
      </w:r>
    </w:p>
    <w:p w14:paraId="70B905AD" w14:textId="2B17F443" w:rsidR="004F33C9" w:rsidRPr="00C14DB6" w:rsidRDefault="00B944B2" w:rsidP="00C14DB6">
      <w:pPr>
        <w:pStyle w:val="MDPI31text"/>
        <w:ind w:left="0"/>
      </w:pPr>
      <w:r w:rsidRPr="00C14DB6">
        <w:t xml:space="preserve">For this data analysis, all further statistical analyses were performed with IBM SPSS 27 (IBM Corp., Armonk, NY, USA). RsFC of both amygdalae with frontal ROIs were analysed in a seed-to-seed analysis method, excluding rsFC between frontal ROIs or between the amygdalae, as the framework of de Raedt and Hooley (2016) </w:t>
      </w:r>
      <w:r w:rsidRPr="00C14DB6">
        <w:fldChar w:fldCharType="begin"/>
      </w:r>
      <w:r w:rsidRPr="00C14DB6">
        <w:instrText xml:space="preserve"> ADDIN ZOTERO_ITEM CSL_CITATION {"citationID":"j7Q0Lwmp","properties":{"formattedCitation":"[6]","plainCitation":"[6]","noteIndex":0},"citationItems":[{"id":522,"uris":["http://zotero.org/groups/4860232/items/SD9SHXA4"],"itemData":{"id":522,"type":"article-journal","abstract":"When confronted with stressful or emotionally arousing situations, regulatory abilities should allow us to adaptively cope. However, depressed individuals often have a low sense of perceived control and are characterized by a negative expectation bias regarding their ability to deal with future stressful events. Low expectancy concerning the ability to deal with future stressful events may result in less initiation of proactive control, a crucial mechanism of cognitive control reflecting sustained and anticipatory maintenance of goal-relevant information in the dorsolateral prefrontal cortex to optimize cognitive performance. In this theoretical review we integrate a diverse body of literature. We argue that the expectancy of an individual's regulatory abilities prior to the presentation of an arousing event or stressful task will be related to anticipation and proactive up- or downregulation of specific neurocircuits before the actual encounter with the stressful event occurs, in a manner that can be either adaptive or maladaptive. Moreover, we discuss the important role of self-esteem as well as the ability to accept the situation when coping is not possible. Our approach has implications for a broad range of disorders and conditions in which stress regulation plays a role, and can be used to guide the use of recently developed clinical interventions, as well as to fine-tune interventions to facilitate proactive control.","container-title":"Clinical Psychology Review","DOI":"10.1016/J.CPR.2016.03.005","ISSN":"0272-7358","note":"PMID: 27064551\npublisher: Pergamon","page":"45-55","title":"The role of expectancy and proactive control in stress regulation: A neurocognitive framework for regulation expectation","volume":"45","author":[{"family":"De Raedt","given":"Rudi"},{"family":"Hooley","given":"Jill M."}],"issued":{"date-parts":[["2016",4,1]]}}}],"schema":"https://github.com/citation-style-language/schema/raw/master/csl-citation.json"} </w:instrText>
      </w:r>
      <w:r w:rsidRPr="00C14DB6">
        <w:fldChar w:fldCharType="separate"/>
      </w:r>
      <w:r w:rsidRPr="00C14DB6">
        <w:t>[6]</w:t>
      </w:r>
      <w:r w:rsidRPr="00C14DB6">
        <w:fldChar w:fldCharType="end"/>
      </w:r>
      <w:r w:rsidRPr="00C14DB6">
        <w:t xml:space="preserve"> does not include interactions between these rsFCs. First, all eight included rsFCs (bilateral amygdala with unilateral vACC and mPFC and bilateral dlPFC), for each of the four rs-scans (T1-T4), were tested for significant deviation from zero by one-sample t-tests. Only rsFC values significantly different from zero in at least one of the four rs-scans (T1-T4) were included for further analyses. This procedure excluded rsFC of the right amygdala with the dlPFC bilaterally (all ps &gt;.077), as well as rsFC between the left amygdala and the right dlPFC (ps &gt;.068). For each of the remaining five rsFCs (bilateral amygdala with unilateral vACC and mPFC; left amygdala with left dlPFC), separate three-factor ANCOVAs with two within-subject factors (task [achievement stress/social exclusion], time [pre-/post-stress]), one between-subjects factor (sex [female/male]) and a covariate-of-no-interest (order of task presentation)</w:t>
      </w:r>
      <w:r w:rsidR="00170FB7" w:rsidRPr="00C14DB6">
        <w:t xml:space="preserve">, </w:t>
      </w:r>
      <w:r w:rsidR="004C6B09" w:rsidRPr="00C14DB6">
        <w:t>to account for a potential effect of the order of task presentation,</w:t>
      </w:r>
      <w:r w:rsidR="00170FB7" w:rsidRPr="00C14DB6">
        <w:t xml:space="preserve"> </w:t>
      </w:r>
      <w:r w:rsidRPr="00C14DB6">
        <w:t xml:space="preserve">were performed. Sticking to de Raedt and Hooley’s framework </w:t>
      </w:r>
      <w:r w:rsidRPr="00C14DB6">
        <w:fldChar w:fldCharType="begin"/>
      </w:r>
      <w:r w:rsidRPr="00C14DB6">
        <w:instrText xml:space="preserve"> ADDIN ZOTERO_ITEM CSL_CITATION {"citationID":"7DWaHvKG","properties":{"formattedCitation":"[6]","plainCitation":"[6]","noteIndex":0},"citationItems":[{"id":522,"uris":["http://zotero.org/groups/4860232/items/SD9SHXA4"],"itemData":{"id":522,"type":"article-journal","abstract":"When confronted with stressful or emotionally arousing situations, regulatory abilities should allow us to adaptively cope. However, depressed individuals often have a low sense of perceived control and are characterized by a negative expectation bias regarding their ability to deal with future stressful events. Low expectancy concerning the ability to deal with future stressful events may result in less initiation of proactive control, a crucial mechanism of cognitive control reflecting sustained and anticipatory maintenance of goal-relevant information in the dorsolateral prefrontal cortex to optimize cognitive performance. In this theoretical review we integrate a diverse body of literature. We argue that the expectancy of an individual's regulatory abilities prior to the presentation of an arousing event or stressful task will be related to anticipation and proactive up- or downregulation of specific neurocircuits before the actual encounter with the stressful event occurs, in a manner that can be either adaptive or maladaptive. Moreover, we discuss the important role of self-esteem as well as the ability to accept the situation when coping is not possible. Our approach has implications for a broad range of disorders and conditions in which stress regulation plays a role, and can be used to guide the use of recently developed clinical interventions, as well as to fine-tune interventions to facilitate proactive control.","container-title":"Clinical Psychology Review","DOI":"10.1016/J.CPR.2016.03.005","ISSN":"0272-7358","note":"PMID: 27064551\npublisher: Pergamon","page":"45-55","title":"The role of expectancy and proactive control in stress regulation: A neurocognitive framework for regulation expectation","volume":"45","author":[{"family":"De Raedt","given":"Rudi"},{"family":"Hooley","given":"Jill M."}],"issued":{"date-parts":[["2016",4,1]]}}}],"schema":"https://github.com/citation-style-language/schema/raw/master/csl-citation.json"} </w:instrText>
      </w:r>
      <w:r w:rsidRPr="00C14DB6">
        <w:fldChar w:fldCharType="separate"/>
      </w:r>
      <w:r w:rsidRPr="00C14DB6">
        <w:t>[6]</w:t>
      </w:r>
      <w:r w:rsidRPr="00C14DB6">
        <w:fldChar w:fldCharType="end"/>
      </w:r>
      <w:r w:rsidRPr="00C14DB6">
        <w:t>, no dependencies between rsFCs are assumed, thus for our analyses testing this specific framework we assume independence of connectivities. Nevertheless, to account for repeated testing due to laterality, Bonferroni correction was applied for bilateral amygdala analyses (bilateral amygdala with unilateral vACC and unilateral mPFC), with an α-value set to .025. All ANCOVAs were Bonferroni corrected. Partial eta-squared as effect size</w:t>
      </w:r>
      <w:r w:rsidR="0027767F" w:rsidRPr="00C14DB6">
        <w:t>, reflecting the proportion of variance due to a certain parameter or set of parameters</w:t>
      </w:r>
      <w:r w:rsidR="00FD275A" w:rsidRPr="00C14DB6">
        <w:t xml:space="preserve"> in a model relative to the variance in a simpler, nested model</w:t>
      </w:r>
      <w:r w:rsidR="0027767F" w:rsidRPr="00C14DB6">
        <w:t xml:space="preserve"> </w:t>
      </w:r>
      <w:r w:rsidR="000A0E40" w:rsidRPr="00C14DB6">
        <w:fldChar w:fldCharType="begin"/>
      </w:r>
      <w:r w:rsidR="000A0E40" w:rsidRPr="00C14DB6">
        <w:instrText xml:space="preserve"> ADDIN ZOTERO_ITEM CSL_CITATION {"citationID":"dsOHEx4F","properties":{"formattedCitation":"[45]","plainCitation":"[45]","noteIndex":0},"citationItems":[{"id":819,"uris":["http://zotero.org/groups/4860232/items/DD5B399I"],"itemData":{"id":819,"type":"article-journal","abstract":"Mixed-effects models are frequently used in a variety of disciplines because they can appropriately specify multiple sources of variation. However, precisely because they distinguish between multiple sources of variation, it is difficult to specify a standardized effect size, such as η2. Several approaches to this problem have been proposed, but most do not address models with crossed random factors, and none allows for the range of data and models that researchers typically test. For example, no existing approach handles random slopes for a continuous predictor. We introduce several new, flexible approaches to estimating η2 in mixed-effect models with crossed random factors. We then conduct a simulation to assess new and old methods. We examine their respective strengths and weaknesses and offer recommendations for a simple approach based on the work of Snijders and Bosker (2011).","container-title":"Behavior Research Methods","DOI":"10.3758/s13428-021-01687-2","ISSN":"1554-3528","issue":"4","journalAbbreviation":"Behav Res","language":"en","page":"1626-1642","source":"Springer Link","title":"Flexible approaches for estimating partial eta squared in mixed-effects models with crossed random factors","volume":"54","author":[{"family":"Correll","given":"Joshua"},{"family":"Mellinger","given":"Chris"},{"family":"Pedersen","given":"Eric J."}],"issued":{"date-parts":[["2022",8,1]]}}}],"schema":"https://github.com/citation-style-language/schema/raw/master/csl-citation.json"} </w:instrText>
      </w:r>
      <w:r w:rsidR="000A0E40" w:rsidRPr="00C14DB6">
        <w:fldChar w:fldCharType="separate"/>
      </w:r>
      <w:r w:rsidR="000A0E40" w:rsidRPr="00C14DB6">
        <w:rPr>
          <w:noProof/>
        </w:rPr>
        <w:t>[45]</w:t>
      </w:r>
      <w:r w:rsidR="000A0E40" w:rsidRPr="00C14DB6">
        <w:fldChar w:fldCharType="end"/>
      </w:r>
      <w:r w:rsidR="00FD275A" w:rsidRPr="00C14DB6">
        <w:t>,</w:t>
      </w:r>
      <w:r w:rsidRPr="00C14DB6">
        <w:t xml:space="preserve"> is reported for ANCOVAs.</w:t>
      </w:r>
    </w:p>
    <w:p w14:paraId="5FEEFF6C" w14:textId="0C4FE962" w:rsidR="00B944B2" w:rsidRPr="00C14DB6" w:rsidRDefault="00B944B2" w:rsidP="00C14DB6">
      <w:pPr>
        <w:pStyle w:val="MDPI23heading3"/>
        <w:spacing w:before="240"/>
        <w:ind w:left="0" w:firstLine="452"/>
        <w:rPr>
          <w:i/>
          <w:iCs/>
        </w:rPr>
      </w:pPr>
      <w:r w:rsidRPr="00C14DB6">
        <w:rPr>
          <w:i/>
          <w:iCs/>
        </w:rPr>
        <w:t>2.6.3.1 Exploratory regression analyses</w:t>
      </w:r>
    </w:p>
    <w:p w14:paraId="4C4DCA61" w14:textId="1446DD22" w:rsidR="00B944B2" w:rsidRPr="00C14DB6" w:rsidRDefault="00B944B2" w:rsidP="00C14DB6">
      <w:pPr>
        <w:pStyle w:val="MDPI31text"/>
        <w:ind w:left="0"/>
      </w:pPr>
      <w:r w:rsidRPr="00C14DB6">
        <w:t xml:space="preserve">To further exploratorily assess associations of stress-induced changes in cortisol reactivity and subjective ratings with changes of amygdala–frontal rsFC before vs. after each task, we ran multiple regression analyses. Therefore, the change from pre-stress to post-stress of amydala-frontal rsFC, cortisol, positive affect, negative affect, and anger for each stressor (achievement stress/social exclusion) were </w:t>
      </w:r>
      <w:r w:rsidRPr="00C14DB6">
        <w:lastRenderedPageBreak/>
        <w:t>calculated. For each amygdala-frontal rsFC, exploratory multiple regression analyses (with forced entry) were performed. For the following predictors, we ran separate regression analyses with change in amygdala-frontal rsFC from pre-stress to post-stress as dependent variable, separately for each stressor: change in (a) cortisol, (b) positive affect, (c) negative affect and (d) anger from pre- to post-stress. For each analysis, sex and order of task presentation were included as additional predictors. One exception was change in cortisol, where we observed a significant sex difference (see paragraph 3.2 and Figure 4C). We therefore added the interaction of sex and cortisol as a predictor to the regression and found it to be significant (p=.021) and thus performed this regression analysis separately for females and males. For all regression analyses, outliers were identified and excluded using a Cook’s distance above 0.5 as cut-off. Significance levels for all regression analyses were Bonferroni corrected for laterality, as explained above.</w:t>
      </w:r>
    </w:p>
    <w:p w14:paraId="5F59DAF4" w14:textId="7EFCDB6B" w:rsidR="00B944B2" w:rsidRPr="00C14DB6" w:rsidRDefault="004F33C9" w:rsidP="00C14DB6">
      <w:pPr>
        <w:pStyle w:val="MDPI21heading1"/>
        <w:ind w:left="0"/>
      </w:pPr>
      <w:r w:rsidRPr="00C14DB6">
        <w:t xml:space="preserve">3. </w:t>
      </w:r>
      <w:r w:rsidR="00B944B2" w:rsidRPr="00C14DB6">
        <w:t>Results</w:t>
      </w:r>
    </w:p>
    <w:p w14:paraId="1531BC2D" w14:textId="6181A80E" w:rsidR="00B944B2" w:rsidRPr="00C14DB6" w:rsidRDefault="004F33C9" w:rsidP="00C14DB6">
      <w:pPr>
        <w:pStyle w:val="MDPI22heading2"/>
        <w:ind w:left="0"/>
        <w:rPr>
          <w:noProof w:val="0"/>
        </w:rPr>
      </w:pPr>
      <w:r w:rsidRPr="00C14DB6">
        <w:rPr>
          <w:noProof w:val="0"/>
        </w:rPr>
        <w:t xml:space="preserve">3.1. </w:t>
      </w:r>
      <w:r w:rsidR="00B944B2" w:rsidRPr="00C14DB6">
        <w:rPr>
          <w:noProof w:val="0"/>
        </w:rPr>
        <w:t>Sample description</w:t>
      </w:r>
    </w:p>
    <w:p w14:paraId="300CD5A7" w14:textId="10EA5C51" w:rsidR="00B944B2" w:rsidRPr="00C14DB6" w:rsidRDefault="00B944B2" w:rsidP="00C14DB6">
      <w:pPr>
        <w:pStyle w:val="MDPI31text"/>
        <w:ind w:left="0"/>
      </w:pPr>
      <w:r w:rsidRPr="00C14DB6">
        <w:t xml:space="preserve">Groups were matched for movement parameters (FD, DVARS, RMS, </w:t>
      </w:r>
      <w:r w:rsidRPr="00C14DB6">
        <w:fldChar w:fldCharType="begin"/>
      </w:r>
      <w:r w:rsidR="000A0E40" w:rsidRPr="00C14DB6">
        <w:instrText xml:space="preserve"> ADDIN ZOTERO_ITEM CSL_CITATION {"citationID":"bfD65eKg","properties":{"formattedCitation":"[44,46]","plainCitation":"[44,46]","noteIndex":0},"citationItems":[{"id":440,"uris":["http://zotero.org/groups/4860232/items/A5XQ9SQF"],"itemData":{"id":440,"type":"article-journal","abstract":"Several recent reports in large, independent samples have demonstrated the influence of motion artifact on resting-state functional connectivity MRI (rsfc-MRI). Standard rsfc-MRI preprocessing typically includes regression of confounding signals and band-pass filtering. However, substantial heterogeneity exists in how these techniques are implemented across studies, and no prior study has examined the effect of differing approaches for the control of motion-induced artifacts. To better understand how in-scanner head motion affects rsfc-MRI data, we describe the spatial, temporal, and spectral characteristics of motion artifacts in a sample of 348 adolescents. Analyses utilize a novel approach for describing head motion on a voxelwise basis. Next, we systematically evaluate the efficacy of a range of confound regression and filtering techniques for the control of motion-induced artifacts. Results reveal that the effectiveness of preprocessing procedures on the control of motion is heterogeneous, and that improved preprocessing provides a substantial benefit beyond typical procedures. These results demonstrate that the effect of motion on rsfc-MRI can be substantially attenuated through improved preprocessing procedures, but not completely removed. © 2012 Elsevier Inc.","container-title":"NeuroImage","DOI":"10.1016/J.NEUROIMAGE.2012.08.052","ISSN":"1095-9572","issue":"1","note":"PMID: 22926292\npublisher: Neuroimage","page":"240-256","title":"An improved framework for confound regression and filtering for control of motion artifact in the preprocessing of resting-state functional connectivity data","volume":"64","author":[{"family":"Satterthwaite","given":"Theodore D."},{"family":"Elliott","given":"Mark A."},{"family":"Gerraty","given":"Raphael T."},{"family":"Ruparel","given":"Kosha"},{"family":"Loughead","given":"James"},{"family":"Calkins","given":"Monica E."},{"family":"Eickhoff","given":"Simon B."},{"family":"Hakonarson","given":"Hakon"},{"family":"Gur","given":"Ruben C."},{"family":"Gur","given":"Raquel E."},{"family":"Wolf","given":"Daniel H."}],"issued":{"date-parts":[["2013",1,1]]}}},{"id":436,"uris":["http://zotero.org/groups/4860232/items/A362MPNY"],"itemData":{"id":436,"type":"article-journal","abstract":"Here,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Inc.","container-title":"NeuroImage","DOI":"10.1016/J.NEUROIMAGE.2011.10.018","ISSN":"1095-9572","issue":"3","note":"PMID: 22019881\npublisher: Neuroimage","page":"2142-2154","title":"Spurious but systematic correlations in functional connectivity MRI networks arise from subject motion","volume":"59","author":[{"family":"Power","given":"Jonathan D."},{"family":"Barnes","given":"Kelly A."},{"family":"Snyder","given":"Abraham Z."},{"family":"Schlaggar","given":"Bradley L."},{"family":"Petersen","given":"Steven E."}],"issued":{"date-parts":[["2012",2,1]]}}}],"schema":"https://github.com/citation-style-language/schema/raw/master/csl-citation.json"} </w:instrText>
      </w:r>
      <w:r w:rsidRPr="00C14DB6">
        <w:fldChar w:fldCharType="separate"/>
      </w:r>
      <w:r w:rsidR="000A0E40" w:rsidRPr="00C14DB6">
        <w:t>[44,46]</w:t>
      </w:r>
      <w:r w:rsidRPr="00C14DB6">
        <w:fldChar w:fldCharType="end"/>
      </w:r>
      <w:r w:rsidRPr="00C14DB6">
        <w:t>), removing four male participants from the analysis, leading to a final sample of 73 participants (40 females). After matching, females and males did not differ in their mean movement (all ps &gt;.56). Females and males did not differ significantly in age, verbal intelligence, amount of social support in the last 10 days, rejection sensitivity or in positive coping strategies (see Table 2). Besides expected sex differences in progesterone and testosterone values, with higher progesterone in females and higher testosterone in males, there was a significant difference in negative coping strategies, with females scoring higher (i.e., they are using more negative coping strategies) than males. Almost half of the females were tested during menstruation in their early follicular phase (day 1-5, n=19), two were tested during their ovulation (day 12-14, n=2) and the rest was tested during their midluteal phase (day 18-23, n=19). With regards to order of task presentation, 19 females and 15 males first performed the achievement stress task vs. 21 females and 18 males first went through social exclusion (χ</w:t>
      </w:r>
      <w:r w:rsidRPr="00C14DB6">
        <w:rPr>
          <w:vertAlign w:val="superscript"/>
        </w:rPr>
        <w:t>2</w:t>
      </w:r>
      <w:r w:rsidRPr="00C14DB6">
        <w:t>(1)=0.03, p=.862, φ=0.02). Please see Table 2 for sample description.</w:t>
      </w:r>
    </w:p>
    <w:p w14:paraId="776D3032" w14:textId="55C487C0" w:rsidR="00B944B2" w:rsidRPr="00C14DB6" w:rsidRDefault="004F33C9" w:rsidP="00C14DB6">
      <w:pPr>
        <w:pStyle w:val="MDPI41tablecaption"/>
        <w:ind w:left="0"/>
        <w:jc w:val="both"/>
      </w:pPr>
      <w:r w:rsidRPr="00C14DB6">
        <w:rPr>
          <w:b/>
        </w:rPr>
        <w:t xml:space="preserve">Table 2. </w:t>
      </w:r>
      <w:r w:rsidR="00B944B2" w:rsidRPr="00C14DB6">
        <w:t>Sample description including details on age, questionnaire data and hormonal concentrations.</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995"/>
        <w:gridCol w:w="690"/>
        <w:gridCol w:w="594"/>
        <w:gridCol w:w="603"/>
        <w:gridCol w:w="519"/>
        <w:gridCol w:w="1805"/>
        <w:gridCol w:w="651"/>
      </w:tblGrid>
      <w:tr w:rsidR="004F33C9" w:rsidRPr="00C14DB6" w14:paraId="322981A2" w14:textId="77777777" w:rsidTr="00D20538">
        <w:tc>
          <w:tcPr>
            <w:tcW w:w="2995" w:type="dxa"/>
            <w:tcBorders>
              <w:top w:val="single" w:sz="8" w:space="0" w:color="auto"/>
              <w:bottom w:val="single" w:sz="4" w:space="0" w:color="auto"/>
            </w:tcBorders>
            <w:shd w:val="clear" w:color="auto" w:fill="auto"/>
            <w:vAlign w:val="center"/>
          </w:tcPr>
          <w:p w14:paraId="32DEE7C6" w14:textId="77777777" w:rsidR="00B944B2" w:rsidRPr="00C14DB6" w:rsidRDefault="00B944B2" w:rsidP="00C14DB6">
            <w:pPr>
              <w:pStyle w:val="MDPI42tablebody"/>
              <w:rPr>
                <w:b/>
                <w:snapToGrid/>
              </w:rPr>
            </w:pPr>
          </w:p>
        </w:tc>
        <w:tc>
          <w:tcPr>
            <w:tcW w:w="1284" w:type="dxa"/>
            <w:gridSpan w:val="2"/>
            <w:tcBorders>
              <w:top w:val="single" w:sz="8" w:space="0" w:color="auto"/>
              <w:bottom w:val="single" w:sz="4" w:space="0" w:color="auto"/>
            </w:tcBorders>
            <w:shd w:val="clear" w:color="auto" w:fill="auto"/>
            <w:vAlign w:val="center"/>
          </w:tcPr>
          <w:p w14:paraId="2C6E6947" w14:textId="77777777" w:rsidR="00B944B2" w:rsidRPr="00C14DB6" w:rsidRDefault="00B944B2" w:rsidP="00C14DB6">
            <w:pPr>
              <w:pStyle w:val="MDPI42tablebody"/>
              <w:rPr>
                <w:b/>
                <w:snapToGrid/>
              </w:rPr>
            </w:pPr>
            <w:r w:rsidRPr="00C14DB6">
              <w:rPr>
                <w:b/>
                <w:snapToGrid/>
              </w:rPr>
              <w:t>Females (n=40)</w:t>
            </w:r>
          </w:p>
        </w:tc>
        <w:tc>
          <w:tcPr>
            <w:tcW w:w="1122" w:type="dxa"/>
            <w:gridSpan w:val="2"/>
            <w:tcBorders>
              <w:top w:val="single" w:sz="8" w:space="0" w:color="auto"/>
              <w:bottom w:val="single" w:sz="4" w:space="0" w:color="auto"/>
            </w:tcBorders>
            <w:shd w:val="clear" w:color="auto" w:fill="auto"/>
            <w:vAlign w:val="center"/>
          </w:tcPr>
          <w:p w14:paraId="22C9942C" w14:textId="77777777" w:rsidR="00B944B2" w:rsidRPr="00C14DB6" w:rsidRDefault="00B944B2" w:rsidP="00C14DB6">
            <w:pPr>
              <w:pStyle w:val="MDPI42tablebody"/>
              <w:rPr>
                <w:b/>
                <w:snapToGrid/>
              </w:rPr>
            </w:pPr>
            <w:r w:rsidRPr="00C14DB6">
              <w:rPr>
                <w:b/>
                <w:snapToGrid/>
              </w:rPr>
              <w:t>Males (n=33)</w:t>
            </w:r>
          </w:p>
        </w:tc>
        <w:tc>
          <w:tcPr>
            <w:tcW w:w="1805" w:type="dxa"/>
            <w:tcBorders>
              <w:top w:val="single" w:sz="8" w:space="0" w:color="auto"/>
              <w:bottom w:val="single" w:sz="4" w:space="0" w:color="auto"/>
            </w:tcBorders>
            <w:shd w:val="clear" w:color="auto" w:fill="auto"/>
            <w:vAlign w:val="center"/>
          </w:tcPr>
          <w:p w14:paraId="2A462B7C" w14:textId="77777777" w:rsidR="00B944B2" w:rsidRPr="00C14DB6" w:rsidRDefault="00B944B2" w:rsidP="00C14DB6">
            <w:pPr>
              <w:pStyle w:val="MDPI42tablebody"/>
              <w:rPr>
                <w:b/>
                <w:snapToGrid/>
              </w:rPr>
            </w:pPr>
          </w:p>
        </w:tc>
        <w:tc>
          <w:tcPr>
            <w:tcW w:w="651" w:type="dxa"/>
            <w:tcBorders>
              <w:top w:val="single" w:sz="8" w:space="0" w:color="auto"/>
              <w:bottom w:val="single" w:sz="4" w:space="0" w:color="auto"/>
            </w:tcBorders>
            <w:shd w:val="clear" w:color="auto" w:fill="auto"/>
            <w:vAlign w:val="center"/>
          </w:tcPr>
          <w:p w14:paraId="60FF032B" w14:textId="77777777" w:rsidR="00B944B2" w:rsidRPr="00C14DB6" w:rsidRDefault="00B944B2" w:rsidP="00C14DB6">
            <w:pPr>
              <w:pStyle w:val="MDPI42tablebody"/>
              <w:rPr>
                <w:b/>
                <w:snapToGrid/>
              </w:rPr>
            </w:pPr>
          </w:p>
        </w:tc>
      </w:tr>
      <w:tr w:rsidR="004F33C9" w:rsidRPr="00C14DB6" w14:paraId="4986EF70" w14:textId="77777777" w:rsidTr="00D20538">
        <w:tc>
          <w:tcPr>
            <w:tcW w:w="2995" w:type="dxa"/>
            <w:tcBorders>
              <w:bottom w:val="single" w:sz="4" w:space="0" w:color="auto"/>
            </w:tcBorders>
            <w:shd w:val="clear" w:color="auto" w:fill="auto"/>
            <w:vAlign w:val="center"/>
          </w:tcPr>
          <w:p w14:paraId="7D5EE4BC" w14:textId="77777777" w:rsidR="00B944B2" w:rsidRPr="00C14DB6" w:rsidRDefault="00B944B2" w:rsidP="00C14DB6">
            <w:pPr>
              <w:pStyle w:val="MDPI42tablebody"/>
              <w:rPr>
                <w:b/>
                <w:snapToGrid/>
              </w:rPr>
            </w:pPr>
          </w:p>
        </w:tc>
        <w:tc>
          <w:tcPr>
            <w:tcW w:w="690" w:type="dxa"/>
            <w:tcBorders>
              <w:bottom w:val="single" w:sz="4" w:space="0" w:color="auto"/>
            </w:tcBorders>
            <w:shd w:val="clear" w:color="auto" w:fill="auto"/>
            <w:vAlign w:val="center"/>
          </w:tcPr>
          <w:p w14:paraId="3C7A0C0A" w14:textId="77777777" w:rsidR="00B944B2" w:rsidRPr="00C14DB6" w:rsidRDefault="00B944B2" w:rsidP="00C14DB6">
            <w:pPr>
              <w:pStyle w:val="MDPI42tablebody"/>
              <w:rPr>
                <w:b/>
                <w:snapToGrid/>
              </w:rPr>
            </w:pPr>
            <w:r w:rsidRPr="00C14DB6">
              <w:rPr>
                <w:b/>
                <w:snapToGrid/>
              </w:rPr>
              <w:t>Mean</w:t>
            </w:r>
          </w:p>
        </w:tc>
        <w:tc>
          <w:tcPr>
            <w:tcW w:w="594" w:type="dxa"/>
            <w:tcBorders>
              <w:bottom w:val="single" w:sz="4" w:space="0" w:color="auto"/>
            </w:tcBorders>
            <w:shd w:val="clear" w:color="auto" w:fill="auto"/>
            <w:vAlign w:val="center"/>
          </w:tcPr>
          <w:p w14:paraId="312CAC55" w14:textId="77777777" w:rsidR="00B944B2" w:rsidRPr="00C14DB6" w:rsidRDefault="00B944B2" w:rsidP="00C14DB6">
            <w:pPr>
              <w:pStyle w:val="MDPI42tablebody"/>
              <w:rPr>
                <w:b/>
                <w:snapToGrid/>
              </w:rPr>
            </w:pPr>
            <w:r w:rsidRPr="00C14DB6">
              <w:rPr>
                <w:b/>
                <w:snapToGrid/>
              </w:rPr>
              <w:t>SD</w:t>
            </w:r>
          </w:p>
        </w:tc>
        <w:tc>
          <w:tcPr>
            <w:tcW w:w="603" w:type="dxa"/>
            <w:tcBorders>
              <w:bottom w:val="single" w:sz="4" w:space="0" w:color="auto"/>
            </w:tcBorders>
            <w:shd w:val="clear" w:color="auto" w:fill="auto"/>
            <w:vAlign w:val="center"/>
          </w:tcPr>
          <w:p w14:paraId="19DC0469" w14:textId="77777777" w:rsidR="00B944B2" w:rsidRPr="00C14DB6" w:rsidRDefault="00B944B2" w:rsidP="00C14DB6">
            <w:pPr>
              <w:pStyle w:val="MDPI42tablebody"/>
              <w:rPr>
                <w:b/>
                <w:snapToGrid/>
              </w:rPr>
            </w:pPr>
            <w:r w:rsidRPr="00C14DB6">
              <w:rPr>
                <w:b/>
                <w:snapToGrid/>
              </w:rPr>
              <w:t>Mean</w:t>
            </w:r>
          </w:p>
        </w:tc>
        <w:tc>
          <w:tcPr>
            <w:tcW w:w="519" w:type="dxa"/>
            <w:tcBorders>
              <w:bottom w:val="single" w:sz="4" w:space="0" w:color="auto"/>
            </w:tcBorders>
            <w:shd w:val="clear" w:color="auto" w:fill="auto"/>
            <w:vAlign w:val="center"/>
          </w:tcPr>
          <w:p w14:paraId="28A1E738" w14:textId="77777777" w:rsidR="00B944B2" w:rsidRPr="00C14DB6" w:rsidRDefault="00B944B2" w:rsidP="00C14DB6">
            <w:pPr>
              <w:pStyle w:val="MDPI42tablebody"/>
              <w:rPr>
                <w:b/>
                <w:snapToGrid/>
              </w:rPr>
            </w:pPr>
            <w:r w:rsidRPr="00C14DB6">
              <w:rPr>
                <w:b/>
                <w:snapToGrid/>
              </w:rPr>
              <w:t>SD</w:t>
            </w:r>
          </w:p>
        </w:tc>
        <w:tc>
          <w:tcPr>
            <w:tcW w:w="1805" w:type="dxa"/>
            <w:tcBorders>
              <w:bottom w:val="single" w:sz="4" w:space="0" w:color="auto"/>
            </w:tcBorders>
            <w:shd w:val="clear" w:color="auto" w:fill="auto"/>
            <w:vAlign w:val="center"/>
          </w:tcPr>
          <w:p w14:paraId="66301639" w14:textId="77777777" w:rsidR="00B944B2" w:rsidRPr="00C14DB6" w:rsidRDefault="00B944B2" w:rsidP="00C14DB6">
            <w:pPr>
              <w:pStyle w:val="MDPI42tablebody"/>
              <w:rPr>
                <w:b/>
                <w:snapToGrid/>
              </w:rPr>
            </w:pPr>
            <w:r w:rsidRPr="00C14DB6">
              <w:rPr>
                <w:b/>
                <w:snapToGrid/>
              </w:rPr>
              <w:t>Statistical parameters</w:t>
            </w:r>
          </w:p>
        </w:tc>
        <w:tc>
          <w:tcPr>
            <w:tcW w:w="651" w:type="dxa"/>
            <w:tcBorders>
              <w:bottom w:val="single" w:sz="4" w:space="0" w:color="auto"/>
            </w:tcBorders>
            <w:shd w:val="clear" w:color="auto" w:fill="auto"/>
            <w:vAlign w:val="center"/>
          </w:tcPr>
          <w:p w14:paraId="5DD18277" w14:textId="77777777" w:rsidR="00B944B2" w:rsidRPr="00C14DB6" w:rsidRDefault="00B944B2" w:rsidP="00C14DB6">
            <w:pPr>
              <w:pStyle w:val="MDPI42tablebody"/>
              <w:rPr>
                <w:b/>
                <w:snapToGrid/>
              </w:rPr>
            </w:pPr>
            <w:r w:rsidRPr="00C14DB6">
              <w:rPr>
                <w:b/>
                <w:i/>
                <w:iCs/>
                <w:snapToGrid/>
              </w:rPr>
              <w:t>p</w:t>
            </w:r>
            <w:r w:rsidRPr="00C14DB6">
              <w:rPr>
                <w:b/>
                <w:snapToGrid/>
              </w:rPr>
              <w:t>-value</w:t>
            </w:r>
          </w:p>
        </w:tc>
      </w:tr>
      <w:tr w:rsidR="004F33C9" w:rsidRPr="00C14DB6" w14:paraId="3AEB3F74" w14:textId="77777777" w:rsidTr="00D20538">
        <w:tc>
          <w:tcPr>
            <w:tcW w:w="2995" w:type="dxa"/>
            <w:shd w:val="clear" w:color="auto" w:fill="auto"/>
            <w:vAlign w:val="center"/>
          </w:tcPr>
          <w:p w14:paraId="589C7E38" w14:textId="77777777" w:rsidR="00B944B2" w:rsidRPr="00C14DB6" w:rsidRDefault="00B944B2" w:rsidP="00C14DB6">
            <w:pPr>
              <w:pStyle w:val="MDPI42tablebody"/>
              <w:jc w:val="left"/>
              <w:rPr>
                <w:b/>
                <w:bCs/>
              </w:rPr>
            </w:pPr>
            <w:r w:rsidRPr="00C14DB6">
              <w:rPr>
                <w:b/>
                <w:bCs/>
              </w:rPr>
              <w:t xml:space="preserve">Age (in years) </w:t>
            </w:r>
          </w:p>
        </w:tc>
        <w:tc>
          <w:tcPr>
            <w:tcW w:w="690" w:type="dxa"/>
            <w:shd w:val="clear" w:color="auto" w:fill="auto"/>
            <w:vAlign w:val="center"/>
          </w:tcPr>
          <w:p w14:paraId="06A2FEB8" w14:textId="77777777" w:rsidR="00B944B2" w:rsidRPr="00C14DB6" w:rsidRDefault="00B944B2" w:rsidP="00C14DB6">
            <w:pPr>
              <w:pStyle w:val="MDPI42tablebody"/>
            </w:pPr>
            <w:r w:rsidRPr="00C14DB6">
              <w:t>24.7</w:t>
            </w:r>
          </w:p>
        </w:tc>
        <w:tc>
          <w:tcPr>
            <w:tcW w:w="594" w:type="dxa"/>
            <w:shd w:val="clear" w:color="auto" w:fill="auto"/>
            <w:vAlign w:val="center"/>
          </w:tcPr>
          <w:p w14:paraId="36127A30" w14:textId="77777777" w:rsidR="00B944B2" w:rsidRPr="00C14DB6" w:rsidRDefault="00B944B2" w:rsidP="00C14DB6">
            <w:pPr>
              <w:pStyle w:val="MDPI42tablebody"/>
            </w:pPr>
            <w:r w:rsidRPr="00C14DB6">
              <w:t>3.8</w:t>
            </w:r>
          </w:p>
        </w:tc>
        <w:tc>
          <w:tcPr>
            <w:tcW w:w="603" w:type="dxa"/>
            <w:shd w:val="clear" w:color="auto" w:fill="auto"/>
            <w:vAlign w:val="center"/>
          </w:tcPr>
          <w:p w14:paraId="7DE656C1" w14:textId="77777777" w:rsidR="00B944B2" w:rsidRPr="00C14DB6" w:rsidRDefault="00B944B2" w:rsidP="00C14DB6">
            <w:pPr>
              <w:pStyle w:val="MDPI42tablebody"/>
            </w:pPr>
            <w:r w:rsidRPr="00C14DB6">
              <w:t>24.0</w:t>
            </w:r>
          </w:p>
        </w:tc>
        <w:tc>
          <w:tcPr>
            <w:tcW w:w="519" w:type="dxa"/>
            <w:shd w:val="clear" w:color="auto" w:fill="auto"/>
            <w:vAlign w:val="center"/>
          </w:tcPr>
          <w:p w14:paraId="089B29B8" w14:textId="77777777" w:rsidR="00B944B2" w:rsidRPr="00C14DB6" w:rsidRDefault="00B944B2" w:rsidP="00C14DB6">
            <w:pPr>
              <w:pStyle w:val="MDPI42tablebody"/>
            </w:pPr>
            <w:r w:rsidRPr="00C14DB6">
              <w:t>3.0</w:t>
            </w:r>
          </w:p>
        </w:tc>
        <w:tc>
          <w:tcPr>
            <w:tcW w:w="1805" w:type="dxa"/>
            <w:shd w:val="clear" w:color="auto" w:fill="auto"/>
            <w:vAlign w:val="center"/>
          </w:tcPr>
          <w:p w14:paraId="439C3835" w14:textId="77777777" w:rsidR="00B944B2" w:rsidRPr="00C14DB6" w:rsidRDefault="00B944B2" w:rsidP="00C14DB6">
            <w:pPr>
              <w:pStyle w:val="MDPI42tablebody"/>
            </w:pPr>
            <w:r w:rsidRPr="00C14DB6">
              <w:t>t(71)=0.755</w:t>
            </w:r>
          </w:p>
        </w:tc>
        <w:tc>
          <w:tcPr>
            <w:tcW w:w="651" w:type="dxa"/>
            <w:shd w:val="clear" w:color="auto" w:fill="auto"/>
            <w:vAlign w:val="center"/>
          </w:tcPr>
          <w:p w14:paraId="5B252437" w14:textId="77777777" w:rsidR="00B944B2" w:rsidRPr="00C14DB6" w:rsidRDefault="00B944B2" w:rsidP="00C14DB6">
            <w:pPr>
              <w:pStyle w:val="MDPI42tablebody"/>
            </w:pPr>
            <w:r w:rsidRPr="00C14DB6">
              <w:t>.453</w:t>
            </w:r>
          </w:p>
        </w:tc>
      </w:tr>
      <w:tr w:rsidR="004F33C9" w:rsidRPr="00C14DB6" w14:paraId="4A65F56F" w14:textId="77777777" w:rsidTr="00D20538">
        <w:tc>
          <w:tcPr>
            <w:tcW w:w="2995" w:type="dxa"/>
            <w:shd w:val="clear" w:color="auto" w:fill="auto"/>
            <w:vAlign w:val="center"/>
          </w:tcPr>
          <w:p w14:paraId="6DEE0713" w14:textId="77777777" w:rsidR="00B944B2" w:rsidRPr="00C14DB6" w:rsidRDefault="00B944B2" w:rsidP="00C14DB6">
            <w:pPr>
              <w:pStyle w:val="MDPI42tablebody"/>
              <w:jc w:val="left"/>
              <w:rPr>
                <w:b/>
                <w:bCs/>
              </w:rPr>
            </w:pPr>
            <w:r w:rsidRPr="00C14DB6">
              <w:rPr>
                <w:b/>
                <w:bCs/>
              </w:rPr>
              <w:t>Verbal intelligence</w:t>
            </w:r>
          </w:p>
        </w:tc>
        <w:tc>
          <w:tcPr>
            <w:tcW w:w="690" w:type="dxa"/>
            <w:shd w:val="clear" w:color="auto" w:fill="auto"/>
            <w:vAlign w:val="center"/>
          </w:tcPr>
          <w:p w14:paraId="5F925E1C" w14:textId="77777777" w:rsidR="00B944B2" w:rsidRPr="00C14DB6" w:rsidRDefault="00B944B2" w:rsidP="00C14DB6">
            <w:pPr>
              <w:pStyle w:val="MDPI42tablebody"/>
            </w:pPr>
            <w:r w:rsidRPr="00C14DB6">
              <w:t>26.7</w:t>
            </w:r>
          </w:p>
        </w:tc>
        <w:tc>
          <w:tcPr>
            <w:tcW w:w="594" w:type="dxa"/>
            <w:shd w:val="clear" w:color="auto" w:fill="auto"/>
            <w:vAlign w:val="center"/>
          </w:tcPr>
          <w:p w14:paraId="0D313BE8" w14:textId="77777777" w:rsidR="00B944B2" w:rsidRPr="00C14DB6" w:rsidRDefault="00B944B2" w:rsidP="00C14DB6">
            <w:pPr>
              <w:pStyle w:val="MDPI42tablebody"/>
            </w:pPr>
            <w:r w:rsidRPr="00C14DB6">
              <w:t>4.0</w:t>
            </w:r>
          </w:p>
        </w:tc>
        <w:tc>
          <w:tcPr>
            <w:tcW w:w="603" w:type="dxa"/>
            <w:shd w:val="clear" w:color="auto" w:fill="auto"/>
            <w:vAlign w:val="center"/>
          </w:tcPr>
          <w:p w14:paraId="34D3DDB1" w14:textId="77777777" w:rsidR="00B944B2" w:rsidRPr="00C14DB6" w:rsidRDefault="00B944B2" w:rsidP="00C14DB6">
            <w:pPr>
              <w:pStyle w:val="MDPI42tablebody"/>
            </w:pPr>
            <w:r w:rsidRPr="00C14DB6">
              <w:t>27.4</w:t>
            </w:r>
          </w:p>
        </w:tc>
        <w:tc>
          <w:tcPr>
            <w:tcW w:w="519" w:type="dxa"/>
            <w:shd w:val="clear" w:color="auto" w:fill="auto"/>
            <w:vAlign w:val="center"/>
          </w:tcPr>
          <w:p w14:paraId="3EECA1CC" w14:textId="77777777" w:rsidR="00B944B2" w:rsidRPr="00C14DB6" w:rsidRDefault="00B944B2" w:rsidP="00C14DB6">
            <w:pPr>
              <w:pStyle w:val="MDPI42tablebody"/>
            </w:pPr>
            <w:r w:rsidRPr="00C14DB6">
              <w:t>3.5</w:t>
            </w:r>
          </w:p>
        </w:tc>
        <w:tc>
          <w:tcPr>
            <w:tcW w:w="1805" w:type="dxa"/>
            <w:shd w:val="clear" w:color="auto" w:fill="auto"/>
            <w:vAlign w:val="center"/>
          </w:tcPr>
          <w:p w14:paraId="1707E86D" w14:textId="77777777" w:rsidR="00B944B2" w:rsidRPr="00C14DB6" w:rsidRDefault="00B944B2" w:rsidP="00C14DB6">
            <w:pPr>
              <w:pStyle w:val="MDPI42tablebody"/>
            </w:pPr>
            <w:r w:rsidRPr="00C14DB6">
              <w:t>t(70</w:t>
            </w:r>
            <w:r w:rsidRPr="00C14DB6">
              <w:rPr>
                <w:vertAlign w:val="superscript"/>
              </w:rPr>
              <w:t>1</w:t>
            </w:r>
            <w:r w:rsidRPr="00C14DB6">
              <w:t>)=0.875</w:t>
            </w:r>
          </w:p>
        </w:tc>
        <w:tc>
          <w:tcPr>
            <w:tcW w:w="651" w:type="dxa"/>
            <w:shd w:val="clear" w:color="auto" w:fill="auto"/>
            <w:vAlign w:val="center"/>
          </w:tcPr>
          <w:p w14:paraId="256C64DB" w14:textId="77777777" w:rsidR="00B944B2" w:rsidRPr="00C14DB6" w:rsidRDefault="00B944B2" w:rsidP="00C14DB6">
            <w:pPr>
              <w:pStyle w:val="MDPI42tablebody"/>
            </w:pPr>
            <w:r w:rsidRPr="00C14DB6">
              <w:t>.385</w:t>
            </w:r>
          </w:p>
        </w:tc>
      </w:tr>
      <w:tr w:rsidR="004F33C9" w:rsidRPr="00C14DB6" w14:paraId="43E11076" w14:textId="77777777" w:rsidTr="00D20538">
        <w:tc>
          <w:tcPr>
            <w:tcW w:w="2995" w:type="dxa"/>
            <w:shd w:val="clear" w:color="auto" w:fill="auto"/>
            <w:vAlign w:val="center"/>
          </w:tcPr>
          <w:p w14:paraId="44856EED" w14:textId="77777777" w:rsidR="00B944B2" w:rsidRPr="00C14DB6" w:rsidRDefault="00B944B2" w:rsidP="00C14DB6">
            <w:pPr>
              <w:pStyle w:val="MDPI42tablebody"/>
              <w:jc w:val="left"/>
              <w:rPr>
                <w:b/>
                <w:bCs/>
              </w:rPr>
            </w:pPr>
            <w:r w:rsidRPr="00C14DB6">
              <w:rPr>
                <w:b/>
                <w:bCs/>
              </w:rPr>
              <w:t>Social support in last 10 days</w:t>
            </w:r>
          </w:p>
        </w:tc>
        <w:tc>
          <w:tcPr>
            <w:tcW w:w="690" w:type="dxa"/>
            <w:shd w:val="clear" w:color="auto" w:fill="auto"/>
            <w:vAlign w:val="center"/>
          </w:tcPr>
          <w:p w14:paraId="4DFD5E80" w14:textId="77777777" w:rsidR="00B944B2" w:rsidRPr="00C14DB6" w:rsidRDefault="00B944B2" w:rsidP="00C14DB6">
            <w:pPr>
              <w:pStyle w:val="MDPI42tablebody"/>
            </w:pPr>
            <w:r w:rsidRPr="00C14DB6">
              <w:t>19.3</w:t>
            </w:r>
          </w:p>
        </w:tc>
        <w:tc>
          <w:tcPr>
            <w:tcW w:w="594" w:type="dxa"/>
            <w:shd w:val="clear" w:color="auto" w:fill="auto"/>
            <w:vAlign w:val="center"/>
          </w:tcPr>
          <w:p w14:paraId="0C1F3DA1" w14:textId="77777777" w:rsidR="00B944B2" w:rsidRPr="00C14DB6" w:rsidRDefault="00B944B2" w:rsidP="00C14DB6">
            <w:pPr>
              <w:pStyle w:val="MDPI42tablebody"/>
            </w:pPr>
            <w:r w:rsidRPr="00C14DB6">
              <w:t>20.5</w:t>
            </w:r>
          </w:p>
        </w:tc>
        <w:tc>
          <w:tcPr>
            <w:tcW w:w="603" w:type="dxa"/>
            <w:shd w:val="clear" w:color="auto" w:fill="auto"/>
            <w:vAlign w:val="center"/>
          </w:tcPr>
          <w:p w14:paraId="258BF6E6" w14:textId="77777777" w:rsidR="00B944B2" w:rsidRPr="00C14DB6" w:rsidRDefault="00B944B2" w:rsidP="00C14DB6">
            <w:pPr>
              <w:pStyle w:val="MDPI42tablebody"/>
            </w:pPr>
            <w:r w:rsidRPr="00C14DB6">
              <w:t>20.2</w:t>
            </w:r>
          </w:p>
        </w:tc>
        <w:tc>
          <w:tcPr>
            <w:tcW w:w="519" w:type="dxa"/>
            <w:shd w:val="clear" w:color="auto" w:fill="auto"/>
            <w:vAlign w:val="center"/>
          </w:tcPr>
          <w:p w14:paraId="058B8BE2" w14:textId="77777777" w:rsidR="00B944B2" w:rsidRPr="00C14DB6" w:rsidRDefault="00B944B2" w:rsidP="00C14DB6">
            <w:pPr>
              <w:pStyle w:val="MDPI42tablebody"/>
            </w:pPr>
            <w:r w:rsidRPr="00C14DB6">
              <w:t>19.2</w:t>
            </w:r>
          </w:p>
        </w:tc>
        <w:tc>
          <w:tcPr>
            <w:tcW w:w="1805" w:type="dxa"/>
            <w:shd w:val="clear" w:color="auto" w:fill="auto"/>
            <w:vAlign w:val="center"/>
          </w:tcPr>
          <w:p w14:paraId="558204AA" w14:textId="77777777" w:rsidR="00B944B2" w:rsidRPr="00C14DB6" w:rsidRDefault="00B944B2" w:rsidP="00C14DB6">
            <w:pPr>
              <w:pStyle w:val="MDPI42tablebody"/>
            </w:pPr>
            <w:r w:rsidRPr="00C14DB6">
              <w:t>t(71)=0.201</w:t>
            </w:r>
          </w:p>
        </w:tc>
        <w:tc>
          <w:tcPr>
            <w:tcW w:w="651" w:type="dxa"/>
            <w:shd w:val="clear" w:color="auto" w:fill="auto"/>
            <w:vAlign w:val="center"/>
          </w:tcPr>
          <w:p w14:paraId="77F9C3FF" w14:textId="77777777" w:rsidR="00B944B2" w:rsidRPr="00C14DB6" w:rsidRDefault="00B944B2" w:rsidP="00C14DB6">
            <w:pPr>
              <w:pStyle w:val="MDPI42tablebody"/>
            </w:pPr>
            <w:r w:rsidRPr="00C14DB6">
              <w:t>.841</w:t>
            </w:r>
          </w:p>
        </w:tc>
      </w:tr>
      <w:tr w:rsidR="004F33C9" w:rsidRPr="00C14DB6" w14:paraId="45D96527" w14:textId="77777777" w:rsidTr="00D20538">
        <w:tc>
          <w:tcPr>
            <w:tcW w:w="2995" w:type="dxa"/>
            <w:shd w:val="clear" w:color="auto" w:fill="auto"/>
            <w:vAlign w:val="center"/>
          </w:tcPr>
          <w:p w14:paraId="2C415E67" w14:textId="77777777" w:rsidR="00B944B2" w:rsidRPr="00C14DB6" w:rsidRDefault="00B944B2" w:rsidP="00C14DB6">
            <w:pPr>
              <w:pStyle w:val="MDPI42tablebody"/>
              <w:jc w:val="left"/>
              <w:rPr>
                <w:b/>
                <w:bCs/>
              </w:rPr>
            </w:pPr>
            <w:r w:rsidRPr="00C14DB6">
              <w:rPr>
                <w:b/>
                <w:bCs/>
              </w:rPr>
              <w:t>Rejection sensitivity</w:t>
            </w:r>
          </w:p>
        </w:tc>
        <w:tc>
          <w:tcPr>
            <w:tcW w:w="690" w:type="dxa"/>
            <w:shd w:val="clear" w:color="auto" w:fill="auto"/>
            <w:vAlign w:val="center"/>
          </w:tcPr>
          <w:p w14:paraId="62CF5F98" w14:textId="77777777" w:rsidR="00B944B2" w:rsidRPr="00C14DB6" w:rsidRDefault="00B944B2" w:rsidP="00C14DB6">
            <w:pPr>
              <w:pStyle w:val="MDPI42tablebody"/>
            </w:pPr>
            <w:r w:rsidRPr="00C14DB6">
              <w:t>8.4</w:t>
            </w:r>
          </w:p>
        </w:tc>
        <w:tc>
          <w:tcPr>
            <w:tcW w:w="594" w:type="dxa"/>
            <w:shd w:val="clear" w:color="auto" w:fill="auto"/>
            <w:vAlign w:val="center"/>
          </w:tcPr>
          <w:p w14:paraId="489343AD" w14:textId="77777777" w:rsidR="00B944B2" w:rsidRPr="00C14DB6" w:rsidRDefault="00B944B2" w:rsidP="00C14DB6">
            <w:pPr>
              <w:pStyle w:val="MDPI42tablebody"/>
            </w:pPr>
            <w:r w:rsidRPr="00C14DB6">
              <w:t>3.3</w:t>
            </w:r>
          </w:p>
        </w:tc>
        <w:tc>
          <w:tcPr>
            <w:tcW w:w="603" w:type="dxa"/>
            <w:shd w:val="clear" w:color="auto" w:fill="auto"/>
            <w:vAlign w:val="center"/>
          </w:tcPr>
          <w:p w14:paraId="54982E8B" w14:textId="77777777" w:rsidR="00B944B2" w:rsidRPr="00C14DB6" w:rsidRDefault="00B944B2" w:rsidP="00C14DB6">
            <w:pPr>
              <w:pStyle w:val="MDPI42tablebody"/>
            </w:pPr>
            <w:r w:rsidRPr="00C14DB6">
              <w:t>8.1</w:t>
            </w:r>
          </w:p>
        </w:tc>
        <w:tc>
          <w:tcPr>
            <w:tcW w:w="519" w:type="dxa"/>
            <w:shd w:val="clear" w:color="auto" w:fill="auto"/>
            <w:vAlign w:val="center"/>
          </w:tcPr>
          <w:p w14:paraId="6D3E7D82" w14:textId="77777777" w:rsidR="00B944B2" w:rsidRPr="00C14DB6" w:rsidRDefault="00B944B2" w:rsidP="00C14DB6">
            <w:pPr>
              <w:pStyle w:val="MDPI42tablebody"/>
            </w:pPr>
            <w:r w:rsidRPr="00C14DB6">
              <w:t>2.9</w:t>
            </w:r>
          </w:p>
        </w:tc>
        <w:tc>
          <w:tcPr>
            <w:tcW w:w="1805" w:type="dxa"/>
            <w:shd w:val="clear" w:color="auto" w:fill="auto"/>
            <w:vAlign w:val="center"/>
          </w:tcPr>
          <w:p w14:paraId="1161DD77" w14:textId="77777777" w:rsidR="00B944B2" w:rsidRPr="00C14DB6" w:rsidRDefault="00B944B2" w:rsidP="00C14DB6">
            <w:pPr>
              <w:pStyle w:val="MDPI42tablebody"/>
            </w:pPr>
            <w:r w:rsidRPr="00C14DB6">
              <w:t>t(71)=0.412</w:t>
            </w:r>
          </w:p>
        </w:tc>
        <w:tc>
          <w:tcPr>
            <w:tcW w:w="651" w:type="dxa"/>
            <w:shd w:val="clear" w:color="auto" w:fill="auto"/>
            <w:vAlign w:val="center"/>
          </w:tcPr>
          <w:p w14:paraId="7279CDCF" w14:textId="77777777" w:rsidR="00B944B2" w:rsidRPr="00C14DB6" w:rsidRDefault="00B944B2" w:rsidP="00C14DB6">
            <w:pPr>
              <w:pStyle w:val="MDPI42tablebody"/>
            </w:pPr>
            <w:r w:rsidRPr="00C14DB6">
              <w:t>.681</w:t>
            </w:r>
          </w:p>
        </w:tc>
      </w:tr>
      <w:tr w:rsidR="004F33C9" w:rsidRPr="00C14DB6" w14:paraId="4D1E0341" w14:textId="77777777" w:rsidTr="00D20538">
        <w:tc>
          <w:tcPr>
            <w:tcW w:w="2995" w:type="dxa"/>
            <w:shd w:val="clear" w:color="auto" w:fill="auto"/>
            <w:vAlign w:val="center"/>
          </w:tcPr>
          <w:p w14:paraId="400A52D3" w14:textId="77777777" w:rsidR="00B944B2" w:rsidRPr="00C14DB6" w:rsidRDefault="00B944B2" w:rsidP="00C14DB6">
            <w:pPr>
              <w:pStyle w:val="MDPI42tablebody"/>
              <w:jc w:val="left"/>
              <w:rPr>
                <w:b/>
                <w:bCs/>
              </w:rPr>
            </w:pPr>
            <w:r w:rsidRPr="00C14DB6">
              <w:rPr>
                <w:b/>
                <w:bCs/>
              </w:rPr>
              <w:t>Positive stress coping strategies</w:t>
            </w:r>
          </w:p>
        </w:tc>
        <w:tc>
          <w:tcPr>
            <w:tcW w:w="690" w:type="dxa"/>
            <w:shd w:val="clear" w:color="auto" w:fill="auto"/>
            <w:vAlign w:val="center"/>
          </w:tcPr>
          <w:p w14:paraId="67183155" w14:textId="77777777" w:rsidR="00B944B2" w:rsidRPr="00C14DB6" w:rsidRDefault="00B944B2" w:rsidP="00C14DB6">
            <w:pPr>
              <w:pStyle w:val="MDPI42tablebody"/>
            </w:pPr>
            <w:r w:rsidRPr="00C14DB6">
              <w:t>2.2</w:t>
            </w:r>
          </w:p>
        </w:tc>
        <w:tc>
          <w:tcPr>
            <w:tcW w:w="594" w:type="dxa"/>
            <w:shd w:val="clear" w:color="auto" w:fill="auto"/>
            <w:vAlign w:val="center"/>
          </w:tcPr>
          <w:p w14:paraId="26296B10" w14:textId="77777777" w:rsidR="00B944B2" w:rsidRPr="00C14DB6" w:rsidRDefault="00B944B2" w:rsidP="00C14DB6">
            <w:pPr>
              <w:pStyle w:val="MDPI42tablebody"/>
            </w:pPr>
            <w:r w:rsidRPr="00C14DB6">
              <w:t>0.4</w:t>
            </w:r>
          </w:p>
        </w:tc>
        <w:tc>
          <w:tcPr>
            <w:tcW w:w="603" w:type="dxa"/>
            <w:shd w:val="clear" w:color="auto" w:fill="auto"/>
            <w:vAlign w:val="center"/>
          </w:tcPr>
          <w:p w14:paraId="1DFD0ED8" w14:textId="77777777" w:rsidR="00B944B2" w:rsidRPr="00C14DB6" w:rsidRDefault="00B944B2" w:rsidP="00C14DB6">
            <w:pPr>
              <w:pStyle w:val="MDPI42tablebody"/>
            </w:pPr>
            <w:r w:rsidRPr="00C14DB6">
              <w:t>2.3</w:t>
            </w:r>
          </w:p>
        </w:tc>
        <w:tc>
          <w:tcPr>
            <w:tcW w:w="519" w:type="dxa"/>
            <w:shd w:val="clear" w:color="auto" w:fill="auto"/>
            <w:vAlign w:val="center"/>
          </w:tcPr>
          <w:p w14:paraId="102F39A1" w14:textId="77777777" w:rsidR="00B944B2" w:rsidRPr="00C14DB6" w:rsidRDefault="00B944B2" w:rsidP="00C14DB6">
            <w:pPr>
              <w:pStyle w:val="MDPI42tablebody"/>
            </w:pPr>
            <w:r w:rsidRPr="00C14DB6">
              <w:t>0.3</w:t>
            </w:r>
          </w:p>
        </w:tc>
        <w:tc>
          <w:tcPr>
            <w:tcW w:w="1805" w:type="dxa"/>
            <w:shd w:val="clear" w:color="auto" w:fill="auto"/>
            <w:vAlign w:val="center"/>
          </w:tcPr>
          <w:p w14:paraId="7EC2A210" w14:textId="77777777" w:rsidR="00B944B2" w:rsidRPr="00C14DB6" w:rsidRDefault="00B944B2" w:rsidP="00C14DB6">
            <w:pPr>
              <w:pStyle w:val="MDPI42tablebody"/>
            </w:pPr>
            <w:r w:rsidRPr="00C14DB6">
              <w:t>t(71)=0.298</w:t>
            </w:r>
          </w:p>
        </w:tc>
        <w:tc>
          <w:tcPr>
            <w:tcW w:w="651" w:type="dxa"/>
            <w:shd w:val="clear" w:color="auto" w:fill="auto"/>
            <w:vAlign w:val="center"/>
          </w:tcPr>
          <w:p w14:paraId="0BD03215" w14:textId="77777777" w:rsidR="00B944B2" w:rsidRPr="00C14DB6" w:rsidRDefault="00B944B2" w:rsidP="00C14DB6">
            <w:pPr>
              <w:pStyle w:val="MDPI42tablebody"/>
            </w:pPr>
            <w:r w:rsidRPr="00C14DB6">
              <w:t>.767</w:t>
            </w:r>
          </w:p>
        </w:tc>
      </w:tr>
      <w:tr w:rsidR="004F33C9" w:rsidRPr="00C14DB6" w14:paraId="4AA64C00" w14:textId="77777777" w:rsidTr="00D20538">
        <w:tc>
          <w:tcPr>
            <w:tcW w:w="2995" w:type="dxa"/>
            <w:shd w:val="clear" w:color="auto" w:fill="auto"/>
            <w:vAlign w:val="center"/>
          </w:tcPr>
          <w:p w14:paraId="136FB43A" w14:textId="77777777" w:rsidR="00B944B2" w:rsidRPr="00C14DB6" w:rsidRDefault="00B944B2" w:rsidP="00C14DB6">
            <w:pPr>
              <w:pStyle w:val="MDPI42tablebody"/>
              <w:jc w:val="left"/>
              <w:rPr>
                <w:b/>
                <w:bCs/>
              </w:rPr>
            </w:pPr>
            <w:r w:rsidRPr="00C14DB6">
              <w:rPr>
                <w:b/>
                <w:bCs/>
              </w:rPr>
              <w:t>Negative stress coping strategies</w:t>
            </w:r>
          </w:p>
        </w:tc>
        <w:tc>
          <w:tcPr>
            <w:tcW w:w="690" w:type="dxa"/>
            <w:shd w:val="clear" w:color="auto" w:fill="auto"/>
            <w:vAlign w:val="center"/>
          </w:tcPr>
          <w:p w14:paraId="3F61BFDB" w14:textId="77777777" w:rsidR="00B944B2" w:rsidRPr="00C14DB6" w:rsidRDefault="00B944B2" w:rsidP="00C14DB6">
            <w:pPr>
              <w:pStyle w:val="MDPI42tablebody"/>
            </w:pPr>
            <w:r w:rsidRPr="00C14DB6">
              <w:t>2.0</w:t>
            </w:r>
          </w:p>
        </w:tc>
        <w:tc>
          <w:tcPr>
            <w:tcW w:w="594" w:type="dxa"/>
            <w:shd w:val="clear" w:color="auto" w:fill="auto"/>
            <w:vAlign w:val="center"/>
          </w:tcPr>
          <w:p w14:paraId="240A0389" w14:textId="77777777" w:rsidR="00B944B2" w:rsidRPr="00C14DB6" w:rsidRDefault="00B944B2" w:rsidP="00C14DB6">
            <w:pPr>
              <w:pStyle w:val="MDPI42tablebody"/>
            </w:pPr>
            <w:r w:rsidRPr="00C14DB6">
              <w:t>0.6</w:t>
            </w:r>
          </w:p>
        </w:tc>
        <w:tc>
          <w:tcPr>
            <w:tcW w:w="603" w:type="dxa"/>
            <w:shd w:val="clear" w:color="auto" w:fill="auto"/>
            <w:vAlign w:val="center"/>
          </w:tcPr>
          <w:p w14:paraId="2F36637B" w14:textId="77777777" w:rsidR="00B944B2" w:rsidRPr="00C14DB6" w:rsidRDefault="00B944B2" w:rsidP="00C14DB6">
            <w:pPr>
              <w:pStyle w:val="MDPI42tablebody"/>
            </w:pPr>
            <w:r w:rsidRPr="00C14DB6">
              <w:t>1.7</w:t>
            </w:r>
          </w:p>
        </w:tc>
        <w:tc>
          <w:tcPr>
            <w:tcW w:w="519" w:type="dxa"/>
            <w:shd w:val="clear" w:color="auto" w:fill="auto"/>
            <w:vAlign w:val="center"/>
          </w:tcPr>
          <w:p w14:paraId="54932ED0" w14:textId="77777777" w:rsidR="00B944B2" w:rsidRPr="00C14DB6" w:rsidRDefault="00B944B2" w:rsidP="00C14DB6">
            <w:pPr>
              <w:pStyle w:val="MDPI42tablebody"/>
            </w:pPr>
            <w:r w:rsidRPr="00C14DB6">
              <w:t>0.6</w:t>
            </w:r>
          </w:p>
        </w:tc>
        <w:tc>
          <w:tcPr>
            <w:tcW w:w="1805" w:type="dxa"/>
            <w:shd w:val="clear" w:color="auto" w:fill="auto"/>
            <w:vAlign w:val="center"/>
          </w:tcPr>
          <w:p w14:paraId="2D77C631" w14:textId="77777777" w:rsidR="00B944B2" w:rsidRPr="00C14DB6" w:rsidRDefault="00B944B2" w:rsidP="00C14DB6">
            <w:pPr>
              <w:pStyle w:val="MDPI42tablebody"/>
            </w:pPr>
            <w:r w:rsidRPr="00C14DB6">
              <w:t>t(71)=2.080</w:t>
            </w:r>
          </w:p>
        </w:tc>
        <w:tc>
          <w:tcPr>
            <w:tcW w:w="651" w:type="dxa"/>
            <w:shd w:val="clear" w:color="auto" w:fill="auto"/>
            <w:vAlign w:val="center"/>
          </w:tcPr>
          <w:p w14:paraId="66FB1D77" w14:textId="77777777" w:rsidR="00B944B2" w:rsidRPr="00C14DB6" w:rsidRDefault="00B944B2" w:rsidP="00C14DB6">
            <w:pPr>
              <w:pStyle w:val="MDPI42tablebody"/>
            </w:pPr>
            <w:r w:rsidRPr="00C14DB6">
              <w:rPr>
                <w:b/>
                <w:bCs/>
              </w:rPr>
              <w:t>.041*</w:t>
            </w:r>
          </w:p>
        </w:tc>
      </w:tr>
      <w:tr w:rsidR="004F33C9" w:rsidRPr="00C14DB6" w14:paraId="29F08C94" w14:textId="77777777" w:rsidTr="00D20538">
        <w:tc>
          <w:tcPr>
            <w:tcW w:w="2995" w:type="dxa"/>
            <w:shd w:val="clear" w:color="auto" w:fill="auto"/>
            <w:vAlign w:val="center"/>
          </w:tcPr>
          <w:p w14:paraId="68BE79CF" w14:textId="77777777" w:rsidR="00B944B2" w:rsidRPr="00C14DB6" w:rsidRDefault="00B944B2" w:rsidP="00C14DB6">
            <w:pPr>
              <w:pStyle w:val="MDPI42tablebody"/>
              <w:jc w:val="left"/>
              <w:rPr>
                <w:b/>
                <w:bCs/>
              </w:rPr>
            </w:pPr>
            <w:r w:rsidRPr="00C14DB6">
              <w:rPr>
                <w:b/>
                <w:bCs/>
              </w:rPr>
              <w:t>Estradiol levels at arrival [pg/mL]</w:t>
            </w:r>
          </w:p>
        </w:tc>
        <w:tc>
          <w:tcPr>
            <w:tcW w:w="690" w:type="dxa"/>
            <w:shd w:val="clear" w:color="auto" w:fill="auto"/>
            <w:vAlign w:val="center"/>
          </w:tcPr>
          <w:p w14:paraId="6E53E3EC" w14:textId="77777777" w:rsidR="00B944B2" w:rsidRPr="00C14DB6" w:rsidRDefault="00B944B2" w:rsidP="00C14DB6">
            <w:pPr>
              <w:pStyle w:val="MDPI42tablebody"/>
            </w:pPr>
            <w:r w:rsidRPr="00C14DB6">
              <w:t>4.58</w:t>
            </w:r>
          </w:p>
        </w:tc>
        <w:tc>
          <w:tcPr>
            <w:tcW w:w="594" w:type="dxa"/>
            <w:shd w:val="clear" w:color="auto" w:fill="auto"/>
            <w:vAlign w:val="center"/>
          </w:tcPr>
          <w:p w14:paraId="235BB9E4" w14:textId="77777777" w:rsidR="00B944B2" w:rsidRPr="00C14DB6" w:rsidRDefault="00B944B2" w:rsidP="00C14DB6">
            <w:pPr>
              <w:pStyle w:val="MDPI42tablebody"/>
            </w:pPr>
            <w:r w:rsidRPr="00C14DB6">
              <w:t>4.07</w:t>
            </w:r>
          </w:p>
        </w:tc>
        <w:tc>
          <w:tcPr>
            <w:tcW w:w="603" w:type="dxa"/>
            <w:shd w:val="clear" w:color="auto" w:fill="auto"/>
            <w:vAlign w:val="center"/>
          </w:tcPr>
          <w:p w14:paraId="10F71BB3" w14:textId="77777777" w:rsidR="00B944B2" w:rsidRPr="00C14DB6" w:rsidRDefault="00B944B2" w:rsidP="00C14DB6">
            <w:pPr>
              <w:pStyle w:val="MDPI42tablebody"/>
            </w:pPr>
            <w:r w:rsidRPr="00C14DB6">
              <w:t>n/a</w:t>
            </w:r>
          </w:p>
        </w:tc>
        <w:tc>
          <w:tcPr>
            <w:tcW w:w="519" w:type="dxa"/>
            <w:shd w:val="clear" w:color="auto" w:fill="auto"/>
            <w:vAlign w:val="center"/>
          </w:tcPr>
          <w:p w14:paraId="72EE5A85" w14:textId="77777777" w:rsidR="00B944B2" w:rsidRPr="00C14DB6" w:rsidRDefault="00B944B2" w:rsidP="00C14DB6">
            <w:pPr>
              <w:pStyle w:val="MDPI42tablebody"/>
            </w:pPr>
            <w:r w:rsidRPr="00C14DB6">
              <w:t>n/a</w:t>
            </w:r>
          </w:p>
        </w:tc>
        <w:tc>
          <w:tcPr>
            <w:tcW w:w="1805" w:type="dxa"/>
            <w:shd w:val="clear" w:color="auto" w:fill="auto"/>
            <w:vAlign w:val="center"/>
          </w:tcPr>
          <w:p w14:paraId="3D139EDF" w14:textId="77777777" w:rsidR="00B944B2" w:rsidRPr="00C14DB6" w:rsidRDefault="00B944B2" w:rsidP="00C14DB6">
            <w:pPr>
              <w:pStyle w:val="MDPI42tablebody"/>
            </w:pPr>
            <w:r w:rsidRPr="00C14DB6">
              <w:rPr>
                <w:bCs/>
              </w:rPr>
              <w:t>n/a</w:t>
            </w:r>
          </w:p>
        </w:tc>
        <w:tc>
          <w:tcPr>
            <w:tcW w:w="651" w:type="dxa"/>
            <w:shd w:val="clear" w:color="auto" w:fill="auto"/>
            <w:vAlign w:val="center"/>
          </w:tcPr>
          <w:p w14:paraId="34C2A2E9" w14:textId="77777777" w:rsidR="00B944B2" w:rsidRPr="00C14DB6" w:rsidRDefault="00B944B2" w:rsidP="00C14DB6">
            <w:pPr>
              <w:pStyle w:val="MDPI42tablebody"/>
            </w:pPr>
            <w:r w:rsidRPr="00C14DB6">
              <w:t>n/a</w:t>
            </w:r>
          </w:p>
        </w:tc>
      </w:tr>
      <w:tr w:rsidR="004F33C9" w:rsidRPr="00C14DB6" w14:paraId="32789DBA" w14:textId="77777777" w:rsidTr="00D20538">
        <w:tc>
          <w:tcPr>
            <w:tcW w:w="2995" w:type="dxa"/>
            <w:shd w:val="clear" w:color="auto" w:fill="auto"/>
            <w:vAlign w:val="center"/>
          </w:tcPr>
          <w:p w14:paraId="0C4DCBA2" w14:textId="77777777" w:rsidR="00B944B2" w:rsidRPr="00C14DB6" w:rsidRDefault="00B944B2" w:rsidP="00C14DB6">
            <w:pPr>
              <w:pStyle w:val="MDPI42tablebody"/>
              <w:jc w:val="left"/>
              <w:rPr>
                <w:b/>
                <w:bCs/>
              </w:rPr>
            </w:pPr>
            <w:r w:rsidRPr="00C14DB6">
              <w:rPr>
                <w:b/>
                <w:bCs/>
              </w:rPr>
              <w:t>Progesterone levels at arrival [pg/mL]</w:t>
            </w:r>
          </w:p>
        </w:tc>
        <w:tc>
          <w:tcPr>
            <w:tcW w:w="690" w:type="dxa"/>
            <w:shd w:val="clear" w:color="auto" w:fill="auto"/>
            <w:vAlign w:val="center"/>
          </w:tcPr>
          <w:p w14:paraId="1F89AC5E" w14:textId="77777777" w:rsidR="00B944B2" w:rsidRPr="00C14DB6" w:rsidRDefault="00B944B2" w:rsidP="00C14DB6">
            <w:pPr>
              <w:pStyle w:val="MDPI42tablebody"/>
            </w:pPr>
            <w:r w:rsidRPr="00C14DB6">
              <w:t>71.97</w:t>
            </w:r>
          </w:p>
        </w:tc>
        <w:tc>
          <w:tcPr>
            <w:tcW w:w="594" w:type="dxa"/>
            <w:shd w:val="clear" w:color="auto" w:fill="auto"/>
            <w:vAlign w:val="center"/>
          </w:tcPr>
          <w:p w14:paraId="7FA6538F" w14:textId="77777777" w:rsidR="00B944B2" w:rsidRPr="00C14DB6" w:rsidRDefault="00B944B2" w:rsidP="00C14DB6">
            <w:pPr>
              <w:pStyle w:val="MDPI42tablebody"/>
            </w:pPr>
            <w:r w:rsidRPr="00C14DB6">
              <w:t>57.61</w:t>
            </w:r>
          </w:p>
        </w:tc>
        <w:tc>
          <w:tcPr>
            <w:tcW w:w="603" w:type="dxa"/>
            <w:shd w:val="clear" w:color="auto" w:fill="auto"/>
            <w:vAlign w:val="center"/>
          </w:tcPr>
          <w:p w14:paraId="2AE084BE" w14:textId="77777777" w:rsidR="00B944B2" w:rsidRPr="00C14DB6" w:rsidRDefault="00B944B2" w:rsidP="00C14DB6">
            <w:pPr>
              <w:pStyle w:val="MDPI42tablebody"/>
            </w:pPr>
            <w:r w:rsidRPr="00C14DB6">
              <w:t>42.65</w:t>
            </w:r>
          </w:p>
        </w:tc>
        <w:tc>
          <w:tcPr>
            <w:tcW w:w="519" w:type="dxa"/>
            <w:shd w:val="clear" w:color="auto" w:fill="auto"/>
            <w:vAlign w:val="center"/>
          </w:tcPr>
          <w:p w14:paraId="0251472B" w14:textId="77777777" w:rsidR="00B944B2" w:rsidRPr="00C14DB6" w:rsidRDefault="00B944B2" w:rsidP="00C14DB6">
            <w:pPr>
              <w:pStyle w:val="MDPI42tablebody"/>
            </w:pPr>
            <w:r w:rsidRPr="00C14DB6">
              <w:t>29.48</w:t>
            </w:r>
          </w:p>
        </w:tc>
        <w:tc>
          <w:tcPr>
            <w:tcW w:w="1805" w:type="dxa"/>
            <w:shd w:val="clear" w:color="auto" w:fill="auto"/>
            <w:vAlign w:val="center"/>
          </w:tcPr>
          <w:p w14:paraId="0323DD72" w14:textId="77777777" w:rsidR="00B944B2" w:rsidRPr="00C14DB6" w:rsidRDefault="00B944B2" w:rsidP="00C14DB6">
            <w:pPr>
              <w:pStyle w:val="MDPI42tablebody"/>
            </w:pPr>
            <w:r w:rsidRPr="00C14DB6">
              <w:t>t(69</w:t>
            </w:r>
            <w:r w:rsidRPr="00C14DB6">
              <w:rPr>
                <w:vertAlign w:val="superscript"/>
              </w:rPr>
              <w:t>1</w:t>
            </w:r>
            <w:r w:rsidRPr="00C14DB6">
              <w:t>)=2.582</w:t>
            </w:r>
          </w:p>
        </w:tc>
        <w:tc>
          <w:tcPr>
            <w:tcW w:w="651" w:type="dxa"/>
            <w:shd w:val="clear" w:color="auto" w:fill="auto"/>
            <w:vAlign w:val="center"/>
          </w:tcPr>
          <w:p w14:paraId="11F300F6" w14:textId="77777777" w:rsidR="00B944B2" w:rsidRPr="00C14DB6" w:rsidRDefault="00B944B2" w:rsidP="00C14DB6">
            <w:pPr>
              <w:pStyle w:val="MDPI42tablebody"/>
            </w:pPr>
            <w:r w:rsidRPr="00C14DB6">
              <w:rPr>
                <w:b/>
                <w:bCs/>
              </w:rPr>
              <w:t>.012*</w:t>
            </w:r>
          </w:p>
        </w:tc>
      </w:tr>
      <w:tr w:rsidR="004F33C9" w:rsidRPr="00C14DB6" w14:paraId="13FC7DE8" w14:textId="77777777" w:rsidTr="00D20538">
        <w:tc>
          <w:tcPr>
            <w:tcW w:w="2995" w:type="dxa"/>
            <w:tcBorders>
              <w:bottom w:val="single" w:sz="8" w:space="0" w:color="auto"/>
            </w:tcBorders>
            <w:shd w:val="clear" w:color="auto" w:fill="auto"/>
            <w:vAlign w:val="center"/>
          </w:tcPr>
          <w:p w14:paraId="5847BBE8" w14:textId="77777777" w:rsidR="00B944B2" w:rsidRPr="00C14DB6" w:rsidRDefault="00B944B2" w:rsidP="00C14DB6">
            <w:pPr>
              <w:pStyle w:val="MDPI42tablebody"/>
              <w:jc w:val="left"/>
              <w:rPr>
                <w:b/>
                <w:bCs/>
              </w:rPr>
            </w:pPr>
            <w:r w:rsidRPr="00C14DB6">
              <w:rPr>
                <w:b/>
                <w:bCs/>
              </w:rPr>
              <w:t>Testosterone levels at arrival [pg/mL]</w:t>
            </w:r>
          </w:p>
        </w:tc>
        <w:tc>
          <w:tcPr>
            <w:tcW w:w="690" w:type="dxa"/>
            <w:tcBorders>
              <w:bottom w:val="single" w:sz="8" w:space="0" w:color="auto"/>
            </w:tcBorders>
            <w:shd w:val="clear" w:color="auto" w:fill="auto"/>
            <w:vAlign w:val="center"/>
          </w:tcPr>
          <w:p w14:paraId="5300AB04" w14:textId="77777777" w:rsidR="00B944B2" w:rsidRPr="00C14DB6" w:rsidRDefault="00B944B2" w:rsidP="00C14DB6">
            <w:pPr>
              <w:pStyle w:val="MDPI42tablebody"/>
            </w:pPr>
            <w:r w:rsidRPr="00C14DB6">
              <w:t>25.99</w:t>
            </w:r>
          </w:p>
        </w:tc>
        <w:tc>
          <w:tcPr>
            <w:tcW w:w="594" w:type="dxa"/>
            <w:tcBorders>
              <w:bottom w:val="single" w:sz="8" w:space="0" w:color="auto"/>
            </w:tcBorders>
            <w:shd w:val="clear" w:color="auto" w:fill="auto"/>
            <w:vAlign w:val="center"/>
          </w:tcPr>
          <w:p w14:paraId="5BAD9C55" w14:textId="77777777" w:rsidR="00B944B2" w:rsidRPr="00C14DB6" w:rsidRDefault="00B944B2" w:rsidP="00C14DB6">
            <w:pPr>
              <w:pStyle w:val="MDPI42tablebody"/>
            </w:pPr>
            <w:r w:rsidRPr="00C14DB6">
              <w:t>19.07</w:t>
            </w:r>
          </w:p>
        </w:tc>
        <w:tc>
          <w:tcPr>
            <w:tcW w:w="603" w:type="dxa"/>
            <w:tcBorders>
              <w:bottom w:val="single" w:sz="8" w:space="0" w:color="auto"/>
            </w:tcBorders>
            <w:shd w:val="clear" w:color="auto" w:fill="auto"/>
            <w:vAlign w:val="center"/>
          </w:tcPr>
          <w:p w14:paraId="2E534797" w14:textId="77777777" w:rsidR="00B944B2" w:rsidRPr="00C14DB6" w:rsidRDefault="00B944B2" w:rsidP="00C14DB6">
            <w:pPr>
              <w:pStyle w:val="MDPI42tablebody"/>
            </w:pPr>
            <w:r w:rsidRPr="00C14DB6">
              <w:t>87.93</w:t>
            </w:r>
          </w:p>
        </w:tc>
        <w:tc>
          <w:tcPr>
            <w:tcW w:w="519" w:type="dxa"/>
            <w:tcBorders>
              <w:bottom w:val="single" w:sz="8" w:space="0" w:color="auto"/>
            </w:tcBorders>
            <w:shd w:val="clear" w:color="auto" w:fill="auto"/>
            <w:vAlign w:val="center"/>
          </w:tcPr>
          <w:p w14:paraId="4BEE361C" w14:textId="77777777" w:rsidR="00B944B2" w:rsidRPr="00C14DB6" w:rsidRDefault="00B944B2" w:rsidP="00C14DB6">
            <w:pPr>
              <w:pStyle w:val="MDPI42tablebody"/>
            </w:pPr>
            <w:r w:rsidRPr="00C14DB6">
              <w:t>60.62</w:t>
            </w:r>
          </w:p>
        </w:tc>
        <w:tc>
          <w:tcPr>
            <w:tcW w:w="1805" w:type="dxa"/>
            <w:tcBorders>
              <w:bottom w:val="single" w:sz="8" w:space="0" w:color="auto"/>
            </w:tcBorders>
            <w:shd w:val="clear" w:color="auto" w:fill="auto"/>
            <w:vAlign w:val="center"/>
          </w:tcPr>
          <w:p w14:paraId="0C9EAA3D" w14:textId="77777777" w:rsidR="00B944B2" w:rsidRPr="00C14DB6" w:rsidRDefault="00B944B2" w:rsidP="00C14DB6">
            <w:pPr>
              <w:pStyle w:val="MDPI42tablebody"/>
            </w:pPr>
            <w:r w:rsidRPr="00C14DB6">
              <w:t>t(71)=6.114</w:t>
            </w:r>
          </w:p>
        </w:tc>
        <w:tc>
          <w:tcPr>
            <w:tcW w:w="651" w:type="dxa"/>
            <w:tcBorders>
              <w:bottom w:val="single" w:sz="8" w:space="0" w:color="auto"/>
            </w:tcBorders>
            <w:shd w:val="clear" w:color="auto" w:fill="auto"/>
            <w:vAlign w:val="center"/>
          </w:tcPr>
          <w:p w14:paraId="3DF5A660" w14:textId="77777777" w:rsidR="00B944B2" w:rsidRPr="00C14DB6" w:rsidRDefault="00B944B2" w:rsidP="00C14DB6">
            <w:pPr>
              <w:pStyle w:val="MDPI42tablebody"/>
            </w:pPr>
            <w:r w:rsidRPr="00C14DB6">
              <w:rPr>
                <w:b/>
                <w:bCs/>
              </w:rPr>
              <w:t>&lt;.001*</w:t>
            </w:r>
          </w:p>
        </w:tc>
      </w:tr>
    </w:tbl>
    <w:p w14:paraId="6206D641" w14:textId="01A82525" w:rsidR="00B944B2" w:rsidRPr="00C14DB6" w:rsidRDefault="00B944B2" w:rsidP="00C14DB6">
      <w:pPr>
        <w:pStyle w:val="MDPI43tablefooter"/>
        <w:spacing w:after="240"/>
        <w:ind w:left="0"/>
      </w:pPr>
      <w:r w:rsidRPr="00C14DB6">
        <w:rPr>
          <w:b/>
          <w:bCs/>
        </w:rPr>
        <w:t>Note</w:t>
      </w:r>
      <w:r w:rsidRPr="00C14DB6">
        <w:t xml:space="preserve">. Abbreviations: SD = standard deviation. * indicates significance of p&lt;.05. </w:t>
      </w:r>
      <w:r w:rsidRPr="00C14DB6">
        <w:rPr>
          <w:vertAlign w:val="superscript"/>
        </w:rPr>
        <w:t>1</w:t>
      </w:r>
      <w:r w:rsidR="00C33999" w:rsidRPr="00C14DB6">
        <w:rPr>
          <w:vertAlign w:val="superscript"/>
        </w:rPr>
        <w:t xml:space="preserve"> </w:t>
      </w:r>
      <w:r w:rsidRPr="00C14DB6">
        <w:t>: datapoint missing for one or two participants.</w:t>
      </w:r>
    </w:p>
    <w:p w14:paraId="3B565680" w14:textId="6940A28D" w:rsidR="00B944B2" w:rsidRPr="00C14DB6" w:rsidRDefault="004F33C9" w:rsidP="00C14DB6">
      <w:pPr>
        <w:pStyle w:val="MDPI22heading2"/>
        <w:spacing w:before="240"/>
        <w:ind w:left="0"/>
        <w:rPr>
          <w:noProof w:val="0"/>
        </w:rPr>
      </w:pPr>
      <w:r w:rsidRPr="00C14DB6">
        <w:rPr>
          <w:noProof w:val="0"/>
        </w:rPr>
        <w:t xml:space="preserve">3.2. </w:t>
      </w:r>
      <w:r w:rsidR="00B944B2" w:rsidRPr="00C14DB6">
        <w:rPr>
          <w:noProof w:val="0"/>
        </w:rPr>
        <w:t>Associations between stress and cortisol.</w:t>
      </w:r>
    </w:p>
    <w:p w14:paraId="371A136C" w14:textId="52EEF5DF" w:rsidR="00B944B2" w:rsidRPr="00C14DB6" w:rsidRDefault="00B944B2" w:rsidP="00C14DB6">
      <w:pPr>
        <w:pStyle w:val="MDPI31text"/>
        <w:ind w:left="0"/>
      </w:pPr>
      <w:r w:rsidRPr="00C14DB6">
        <w:t>The three-factor ANCOVA (within-subject factors: task [achievement stress/social exclusion], time [pre-/post-stress]; between-subjects factor: sex [female/male]; covariate-of-no-interest: order of task presentation) showed a main effect of sex (F(1,70)=9.085, p=.004, ηp</w:t>
      </w:r>
      <w:r w:rsidRPr="00C14DB6">
        <w:rPr>
          <w:vertAlign w:val="superscript"/>
        </w:rPr>
        <w:t>2</w:t>
      </w:r>
      <w:r w:rsidRPr="00C14DB6">
        <w:t>=0.115) with higher cortisol levels in males than in females (Figure 3A). A task-by-time interaction was found (F(1,70)=5.301, p=.024, ηp</w:t>
      </w:r>
      <w:r w:rsidRPr="00C14DB6">
        <w:rPr>
          <w:vertAlign w:val="superscript"/>
        </w:rPr>
        <w:t>2</w:t>
      </w:r>
      <w:r w:rsidRPr="00C14DB6">
        <w:t xml:space="preserve">=0.070) and post-hoc t-tests showed significantly lower cortisol levels post- compared to pre-social </w:t>
      </w:r>
      <w:r w:rsidRPr="00C14DB6">
        <w:lastRenderedPageBreak/>
        <w:t>exclusion (t(71)=2.579, p=.012), which was not seen post- compared to pre-achievement stress (Figure 3B). Directly comparing pre and post values between the two tasks, however, did not yield significant differences (all ps&gt;.077). Please see Figure 3A and 3B and Table A1 for detailed cortisol levels.</w:t>
      </w:r>
    </w:p>
    <w:p w14:paraId="7E67E9C7" w14:textId="77777777" w:rsidR="00B944B2" w:rsidRPr="00C14DB6" w:rsidRDefault="00B944B2" w:rsidP="00C14DB6">
      <w:pPr>
        <w:pStyle w:val="MDPI52figure"/>
        <w:jc w:val="left"/>
      </w:pPr>
      <w:r w:rsidRPr="00C14DB6">
        <w:rPr>
          <w:noProof/>
          <w:snapToGrid/>
        </w:rPr>
        <w:drawing>
          <wp:inline distT="0" distB="0" distL="0" distR="0" wp14:anchorId="02F075A9" wp14:editId="1B513EC3">
            <wp:extent cx="5116184" cy="288076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0"/>
                    <a:stretch>
                      <a:fillRect/>
                    </a:stretch>
                  </pic:blipFill>
                  <pic:spPr bwMode="auto">
                    <a:xfrm>
                      <a:off x="0" y="0"/>
                      <a:ext cx="5120660" cy="2883285"/>
                    </a:xfrm>
                    <a:prstGeom prst="rect">
                      <a:avLst/>
                    </a:prstGeom>
                  </pic:spPr>
                </pic:pic>
              </a:graphicData>
            </a:graphic>
          </wp:inline>
        </w:drawing>
      </w:r>
    </w:p>
    <w:p w14:paraId="1FC05421" w14:textId="0ABC070B" w:rsidR="00B944B2" w:rsidRPr="00C14DB6" w:rsidRDefault="004F33C9" w:rsidP="00C14DB6">
      <w:pPr>
        <w:pStyle w:val="MDPI51figurecaption"/>
        <w:ind w:left="0"/>
        <w:jc w:val="both"/>
      </w:pPr>
      <w:r w:rsidRPr="00C14DB6">
        <w:rPr>
          <w:b/>
        </w:rPr>
        <w:t xml:space="preserve">Figure 3. </w:t>
      </w:r>
      <w:r w:rsidR="00B944B2" w:rsidRPr="00C14DB6">
        <w:t xml:space="preserve">(A) Significantly higher cortisol level in females compared to males; (B) Cortisol levels for each stressor show a decrease post- vs. pre-social exclusion which is not apparent for achievement stress; (C) Positive affect decrease pre- to post-stress in both tasks; (D) Negative affect is higher in achievement stress compared to social exclusion and pre- compared to post-stress; (E) Increased anger rates post-stress are seen in both tasks, with higher ratings post-achievement stress compared to post-social exclusion. </w:t>
      </w:r>
      <w:r w:rsidR="00535C97" w:rsidRPr="00C14DB6">
        <w:t xml:space="preserve">* indicates significance of p&lt;.05. </w:t>
      </w:r>
      <w:r w:rsidR="00B944B2" w:rsidRPr="00C14DB6">
        <w:t>Abbreviations: PANAS = positive and negative affect scale, ESR = emotional scale rating, soc exc = social exclusion, ach stress = achievement stress.</w:t>
      </w:r>
    </w:p>
    <w:p w14:paraId="306832C2" w14:textId="25208E04" w:rsidR="00B944B2" w:rsidRPr="00C14DB6" w:rsidRDefault="004F33C9" w:rsidP="00C14DB6">
      <w:pPr>
        <w:pStyle w:val="MDPI22heading2"/>
        <w:spacing w:before="240"/>
        <w:ind w:left="0"/>
        <w:rPr>
          <w:noProof w:val="0"/>
        </w:rPr>
      </w:pPr>
      <w:r w:rsidRPr="00C14DB6">
        <w:rPr>
          <w:noProof w:val="0"/>
        </w:rPr>
        <w:t xml:space="preserve">3.3. </w:t>
      </w:r>
      <w:r w:rsidR="00B944B2" w:rsidRPr="00C14DB6">
        <w:rPr>
          <w:noProof w:val="0"/>
        </w:rPr>
        <w:t>Associations between stress and subjective rating.</w:t>
      </w:r>
    </w:p>
    <w:p w14:paraId="286FFBDE" w14:textId="77777777" w:rsidR="00B944B2" w:rsidRPr="00C14DB6" w:rsidRDefault="00B944B2" w:rsidP="00C14DB6">
      <w:pPr>
        <w:pStyle w:val="MDPI31text"/>
        <w:ind w:left="0"/>
      </w:pPr>
      <w:r w:rsidRPr="00C14DB6">
        <w:t>For each of the three subjective rating measures positive affect, negative affect and anger a three-factor ANCOVA (within-subject factors: task [achievement stress/social exclusion], time [pre-/post-stress]; between-subjects factor: sex [female/male]; covariate-of-no-interest: order of task presentation) was performed.</w:t>
      </w:r>
    </w:p>
    <w:p w14:paraId="6B1E40BF" w14:textId="77777777" w:rsidR="00B944B2" w:rsidRPr="00C14DB6" w:rsidRDefault="00B944B2" w:rsidP="00C14DB6">
      <w:pPr>
        <w:pStyle w:val="MDPI31text"/>
        <w:ind w:left="0"/>
      </w:pPr>
      <w:r w:rsidRPr="00C14DB6">
        <w:rPr>
          <w:i/>
          <w:iCs/>
        </w:rPr>
        <w:t xml:space="preserve">Positive affect. </w:t>
      </w:r>
      <w:r w:rsidRPr="00C14DB6">
        <w:t>We observed a significant main effect of time (F(1,71)=21.035, p&lt;.001, ηp</w:t>
      </w:r>
      <w:r w:rsidRPr="00C14DB6">
        <w:rPr>
          <w:vertAlign w:val="superscript"/>
        </w:rPr>
        <w:t>2</w:t>
      </w:r>
      <w:r w:rsidRPr="00C14DB6">
        <w:t xml:space="preserve">=0.229), with lower positive affect ratings post-stress compared to pre-stress. No other main or interaction effect reached significance (all ps&gt;.386, see Figure 3C and Table A1). </w:t>
      </w:r>
    </w:p>
    <w:p w14:paraId="02A6DC12" w14:textId="77777777" w:rsidR="00B944B2" w:rsidRPr="00C14DB6" w:rsidRDefault="00B944B2" w:rsidP="00C14DB6">
      <w:pPr>
        <w:pStyle w:val="MDPI31text"/>
        <w:ind w:left="0"/>
      </w:pPr>
      <w:r w:rsidRPr="00C14DB6">
        <w:rPr>
          <w:i/>
          <w:iCs/>
        </w:rPr>
        <w:t xml:space="preserve">Negative affect. </w:t>
      </w:r>
      <w:r w:rsidRPr="00C14DB6">
        <w:t>A main effect of task (F(1,71)=5.896, p=.018, ηp</w:t>
      </w:r>
      <w:r w:rsidRPr="00C14DB6">
        <w:rPr>
          <w:vertAlign w:val="superscript"/>
        </w:rPr>
        <w:t>2</w:t>
      </w:r>
      <w:r w:rsidRPr="00C14DB6">
        <w:t>=0.077) , with higher negative affect for achievement stress than for social exclusion, and time (F(1,71)=10.358, p=.002, ηp</w:t>
      </w:r>
      <w:r w:rsidRPr="00C14DB6">
        <w:rPr>
          <w:vertAlign w:val="superscript"/>
        </w:rPr>
        <w:t>2</w:t>
      </w:r>
      <w:r w:rsidRPr="00C14DB6">
        <w:t xml:space="preserve">=0.127), with higher negative affect post-stress compared to pre-stress was found. No other main or interaction effect was seen (all ps&gt;.071, see Figure 3D and Table A1). </w:t>
      </w:r>
    </w:p>
    <w:p w14:paraId="23A82493" w14:textId="3B15BC14" w:rsidR="00B944B2" w:rsidRPr="00C14DB6" w:rsidRDefault="00B944B2" w:rsidP="00C14DB6">
      <w:pPr>
        <w:pStyle w:val="MDPI31text"/>
        <w:ind w:left="0"/>
      </w:pPr>
      <w:r w:rsidRPr="00C14DB6">
        <w:rPr>
          <w:i/>
          <w:iCs/>
        </w:rPr>
        <w:t>Anger.</w:t>
      </w:r>
      <w:r w:rsidRPr="00C14DB6">
        <w:t xml:space="preserve"> Anger showed a main effect of task (F(1,71)=11.849, p&lt;.001, ηp</w:t>
      </w:r>
      <w:r w:rsidRPr="00C14DB6">
        <w:rPr>
          <w:vertAlign w:val="superscript"/>
        </w:rPr>
        <w:t>2</w:t>
      </w:r>
      <w:r w:rsidRPr="00C14DB6">
        <w:t>=0.143), with higher ratings for achievement stress compared to social exclusion, and time (F(1,71)=45.125, p&lt;.001, ηp</w:t>
      </w:r>
      <w:r w:rsidRPr="00C14DB6">
        <w:rPr>
          <w:vertAlign w:val="superscript"/>
        </w:rPr>
        <w:t>2</w:t>
      </w:r>
      <w:r w:rsidRPr="00C14DB6">
        <w:t>=0.389), with higher ratings post-stress compared to pre-stress. Further, a task-by-time interaction could be seen (F(1,71)=14.689, p&lt;.001, ηp</w:t>
      </w:r>
      <w:r w:rsidRPr="00C14DB6">
        <w:rPr>
          <w:vertAlign w:val="superscript"/>
        </w:rPr>
        <w:t>2</w:t>
      </w:r>
      <w:r w:rsidRPr="00C14DB6">
        <w:t>=0.171). Post-hoc t-tests showed that anger was significantly higher after both social exclusion (t(72)=-2.819, p=.006) and achievement stress (t(72)=-6.158, p&lt;.001), but was higher after achievement stress than after social exclusion (t(72)=-4.125, p&lt;.001). No significant effect was seen before the tasks, nor was there an effect of sex or other interaction effects (all ps&gt;.085, see Figure 3E and Table A1).</w:t>
      </w:r>
    </w:p>
    <w:p w14:paraId="048FEF07" w14:textId="59035618" w:rsidR="00B944B2" w:rsidRPr="00C14DB6" w:rsidRDefault="004F33C9" w:rsidP="00C14DB6">
      <w:pPr>
        <w:pStyle w:val="MDPI22heading2"/>
        <w:spacing w:before="240"/>
        <w:ind w:left="0"/>
        <w:rPr>
          <w:noProof w:val="0"/>
        </w:rPr>
      </w:pPr>
      <w:r w:rsidRPr="00C14DB6">
        <w:rPr>
          <w:noProof w:val="0"/>
        </w:rPr>
        <w:t xml:space="preserve">3.4. </w:t>
      </w:r>
      <w:r w:rsidR="00B944B2" w:rsidRPr="00C14DB6">
        <w:rPr>
          <w:noProof w:val="0"/>
        </w:rPr>
        <w:t>Associations between stress and rsFC</w:t>
      </w:r>
    </w:p>
    <w:p w14:paraId="20D187EE" w14:textId="77777777" w:rsidR="00B944B2" w:rsidRPr="00C14DB6" w:rsidRDefault="00B944B2" w:rsidP="00C14DB6">
      <w:pPr>
        <w:pStyle w:val="MDPI31text"/>
        <w:ind w:left="0"/>
      </w:pPr>
      <w:r w:rsidRPr="00C14DB6">
        <w:t>For each of the five retained rsFCs, a three-factor ANCOVA (within-subject factors: task [achievement stress/social exclusion], time [pre-/post-stress]; between-subjects factor: sex [female/male]; covariate-of-no-interest: order of task presentation) was conducted.</w:t>
      </w:r>
    </w:p>
    <w:p w14:paraId="21588BA1" w14:textId="2B1F6438" w:rsidR="00B944B2" w:rsidRPr="00C14DB6" w:rsidRDefault="004F33C9" w:rsidP="00C14DB6">
      <w:pPr>
        <w:pStyle w:val="MDPI23heading3"/>
        <w:spacing w:before="240"/>
        <w:ind w:left="0"/>
      </w:pPr>
      <w:r w:rsidRPr="00C14DB6">
        <w:lastRenderedPageBreak/>
        <w:t xml:space="preserve">3.4.1. </w:t>
      </w:r>
      <w:r w:rsidR="00B944B2" w:rsidRPr="00C14DB6">
        <w:t>Amygdala–vACC.</w:t>
      </w:r>
    </w:p>
    <w:p w14:paraId="5CF174FB" w14:textId="77777777" w:rsidR="00B944B2" w:rsidRPr="00C14DB6" w:rsidRDefault="00B944B2" w:rsidP="00C14DB6">
      <w:pPr>
        <w:pStyle w:val="MDPI31text"/>
        <w:ind w:left="0"/>
      </w:pPr>
      <w:r w:rsidRPr="00C14DB6">
        <w:rPr>
          <w:bCs/>
          <w:i/>
          <w:iCs/>
        </w:rPr>
        <w:t>Right amygdala-vACC</w:t>
      </w:r>
      <w:r w:rsidRPr="00C14DB6">
        <w:rPr>
          <w:bCs/>
        </w:rPr>
        <w:t>. The</w:t>
      </w:r>
      <w:r w:rsidRPr="00C14DB6">
        <w:t xml:space="preserve"> ANCOVA showed a significant task-by-sex interaction (F(1,69)=5.533, p=.022, ηp</w:t>
      </w:r>
      <w:r w:rsidRPr="00C14DB6">
        <w:rPr>
          <w:vertAlign w:val="superscript"/>
        </w:rPr>
        <w:t>2</w:t>
      </w:r>
      <w:r w:rsidRPr="00C14DB6">
        <w:t xml:space="preserve">=0.074). Post-hoc t-tests demonstrated higher rsFC for social exclusion than for achievement stress in females </w:t>
      </w:r>
      <w:bookmarkStart w:id="3" w:name="OLE_LINK7"/>
      <w:bookmarkStart w:id="4" w:name="OLE_LINK10"/>
      <w:r w:rsidRPr="00C14DB6">
        <w:t>(t(39)=2.210, p=.033)</w:t>
      </w:r>
      <w:bookmarkEnd w:id="3"/>
      <w:bookmarkEnd w:id="4"/>
      <w:r w:rsidRPr="00C14DB6">
        <w:t>, while such a difference was not apparent in males (p=.200). Furthermore, females exhibited higher rsFC than males for social exclusion (t(70)=-2.068, p=.042, see Figure 4A) which was not apparent for achievement stress. No other main effect or interaction was significant (all ps&gt;.126).</w:t>
      </w:r>
    </w:p>
    <w:p w14:paraId="7EA00E7A" w14:textId="6735C4DA" w:rsidR="00B944B2" w:rsidRPr="00C14DB6" w:rsidRDefault="00B944B2" w:rsidP="00C14DB6">
      <w:pPr>
        <w:pStyle w:val="MDPI31text"/>
        <w:ind w:left="0"/>
      </w:pPr>
      <w:r w:rsidRPr="00C14DB6">
        <w:rPr>
          <w:i/>
          <w:iCs/>
        </w:rPr>
        <w:t>Left amygdala-vACC</w:t>
      </w:r>
      <w:r w:rsidRPr="00C14DB6">
        <w:t xml:space="preserve">. No significant effects emerged considering Bonferroni correction (all ps&gt;.039, cut-off α=.025). </w:t>
      </w:r>
    </w:p>
    <w:p w14:paraId="5D585CDF" w14:textId="77777777" w:rsidR="00B944B2" w:rsidRPr="00C14DB6" w:rsidRDefault="00B944B2" w:rsidP="00C14DB6">
      <w:pPr>
        <w:pStyle w:val="MDPI52figure"/>
        <w:jc w:val="left"/>
      </w:pPr>
      <w:r w:rsidRPr="00C14DB6">
        <w:rPr>
          <w:noProof/>
          <w:snapToGrid/>
        </w:rPr>
        <w:drawing>
          <wp:inline distT="0" distB="0" distL="0" distR="0" wp14:anchorId="3ACAA1CF" wp14:editId="7719B4A8">
            <wp:extent cx="5135356" cy="19293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5135356" cy="1929325"/>
                    </a:xfrm>
                    <a:prstGeom prst="rect">
                      <a:avLst/>
                    </a:prstGeom>
                  </pic:spPr>
                </pic:pic>
              </a:graphicData>
            </a:graphic>
          </wp:inline>
        </w:drawing>
      </w:r>
    </w:p>
    <w:p w14:paraId="08E949A7" w14:textId="59A7C993" w:rsidR="00B944B2" w:rsidRPr="00C14DB6" w:rsidRDefault="004F33C9" w:rsidP="00C14DB6">
      <w:pPr>
        <w:pStyle w:val="MDPI51figurecaption"/>
        <w:ind w:left="0"/>
        <w:jc w:val="both"/>
      </w:pPr>
      <w:r w:rsidRPr="00C14DB6">
        <w:rPr>
          <w:b/>
        </w:rPr>
        <w:t xml:space="preserve">Figure 4. </w:t>
      </w:r>
      <w:r w:rsidR="00B944B2" w:rsidRPr="00C14DB6">
        <w:t>Sex differences in rsFC of right amygdala for both paradigms with vACC (A) and mPFC (</w:t>
      </w:r>
      <w:r w:rsidR="006453ED" w:rsidRPr="00C14DB6">
        <w:t>B</w:t>
      </w:r>
      <w:r w:rsidR="00B944B2" w:rsidRPr="00C14DB6">
        <w:t>). In (</w:t>
      </w:r>
      <w:r w:rsidR="006453ED" w:rsidRPr="00C14DB6">
        <w:t>C</w:t>
      </w:r>
      <w:r w:rsidR="00B944B2" w:rsidRPr="00C14DB6">
        <w:t>), association of change in cortisol with change in amygdala-vACC rsFC for social exclusion in females. * indicates significance of p&lt;.05. Abbreviations: vACC = ventral anterior cingulate cortex, AMY = amygdala, mPFC = medial prefrontal cortex, soc exc = social exclusion, ach stress = achievement stress.</w:t>
      </w:r>
    </w:p>
    <w:p w14:paraId="78BB322E" w14:textId="6C319D31" w:rsidR="00B944B2" w:rsidRPr="00C14DB6" w:rsidRDefault="004F33C9" w:rsidP="00C14DB6">
      <w:pPr>
        <w:pStyle w:val="MDPI23heading3"/>
        <w:spacing w:before="240"/>
        <w:ind w:left="0"/>
      </w:pPr>
      <w:r w:rsidRPr="00C14DB6">
        <w:t xml:space="preserve">3.4.2. </w:t>
      </w:r>
      <w:r w:rsidR="00B944B2" w:rsidRPr="00C14DB6">
        <w:t>Amygdala–mPFC.</w:t>
      </w:r>
    </w:p>
    <w:p w14:paraId="4080F67D" w14:textId="77777777" w:rsidR="00B944B2" w:rsidRPr="00C14DB6" w:rsidRDefault="00B944B2" w:rsidP="00C14DB6">
      <w:pPr>
        <w:pStyle w:val="MDPI31text"/>
        <w:ind w:left="0"/>
      </w:pPr>
      <w:r w:rsidRPr="00C14DB6">
        <w:rPr>
          <w:i/>
          <w:iCs/>
        </w:rPr>
        <w:t>Right amygdala-mPFC.</w:t>
      </w:r>
      <w:r w:rsidRPr="00C14DB6">
        <w:t xml:space="preserve"> A task-by-sex interaction (F(1,69)=6.093, p=0.016, ηp</w:t>
      </w:r>
      <w:r w:rsidRPr="00C14DB6">
        <w:rPr>
          <w:vertAlign w:val="superscript"/>
        </w:rPr>
        <w:t>2</w:t>
      </w:r>
      <w:r w:rsidRPr="00C14DB6">
        <w:t>=0.081) emerged. Post-hoc t-tests indicated higher rsFC for social exclusion in females than males (t(71)=-2.543, p=.013, see Figure 4B). No significant sex difference appeared for achievement stress and no task differences appeared within sexes (all ps&gt;.051). No other main effect or interaction was significant (all ps&gt;.079).</w:t>
      </w:r>
    </w:p>
    <w:p w14:paraId="2E7CE2EB" w14:textId="77777777" w:rsidR="00B944B2" w:rsidRPr="00C14DB6" w:rsidRDefault="00B944B2" w:rsidP="00C14DB6">
      <w:pPr>
        <w:pStyle w:val="MDPI31text"/>
        <w:ind w:left="0"/>
      </w:pPr>
      <w:r w:rsidRPr="00C14DB6">
        <w:rPr>
          <w:i/>
          <w:iCs/>
        </w:rPr>
        <w:t>Left amygdala-mPFC</w:t>
      </w:r>
      <w:r w:rsidRPr="00C14DB6">
        <w:t>. Here, a main effect of time was observed (</w:t>
      </w:r>
      <w:bookmarkStart w:id="5" w:name="OLE_LINK5"/>
      <w:bookmarkStart w:id="6" w:name="OLE_LINK6"/>
      <w:r w:rsidRPr="00C14DB6">
        <w:t>F(1,69)=6.542, p=.013, ηp</w:t>
      </w:r>
      <w:r w:rsidRPr="00C14DB6">
        <w:rPr>
          <w:vertAlign w:val="superscript"/>
        </w:rPr>
        <w:t>2</w:t>
      </w:r>
      <w:r w:rsidRPr="00C14DB6">
        <w:t>=0.087</w:t>
      </w:r>
      <w:bookmarkEnd w:id="5"/>
      <w:bookmarkEnd w:id="6"/>
      <w:r w:rsidRPr="00C14DB6">
        <w:t>), with higher rsFC pre-stress compared to post-stress. No other main effect or interaction was significant (all ps&gt;.069).</w:t>
      </w:r>
    </w:p>
    <w:p w14:paraId="081A0C1E" w14:textId="73D9EB26" w:rsidR="00B944B2" w:rsidRPr="00C14DB6" w:rsidRDefault="004F33C9" w:rsidP="00C14DB6">
      <w:pPr>
        <w:pStyle w:val="MDPI23heading3"/>
        <w:spacing w:before="240"/>
        <w:ind w:left="0"/>
      </w:pPr>
      <w:r w:rsidRPr="00C14DB6">
        <w:t xml:space="preserve">3.4.3. </w:t>
      </w:r>
      <w:r w:rsidR="00B944B2" w:rsidRPr="00C14DB6">
        <w:t xml:space="preserve">Amygdala–dlPFC. </w:t>
      </w:r>
    </w:p>
    <w:p w14:paraId="0B6BAFA7" w14:textId="0D1EF842" w:rsidR="00B944B2" w:rsidRPr="00C14DB6" w:rsidRDefault="00B944B2" w:rsidP="00C14DB6">
      <w:pPr>
        <w:pStyle w:val="MDPI31text"/>
        <w:ind w:left="0"/>
      </w:pPr>
      <w:r w:rsidRPr="00C14DB6">
        <w:t>For the rsFC of the left amygdala with the left dlPFC, no significant effects emerged (all ps&gt;.081).</w:t>
      </w:r>
    </w:p>
    <w:p w14:paraId="3D3E3F82" w14:textId="6B3913A7" w:rsidR="00B944B2" w:rsidRPr="00C14DB6" w:rsidRDefault="004F33C9" w:rsidP="00C14DB6">
      <w:pPr>
        <w:pStyle w:val="MDPI22heading2"/>
        <w:spacing w:before="240"/>
        <w:ind w:left="0"/>
        <w:rPr>
          <w:noProof w:val="0"/>
        </w:rPr>
      </w:pPr>
      <w:r w:rsidRPr="00C14DB6">
        <w:rPr>
          <w:noProof w:val="0"/>
        </w:rPr>
        <w:t xml:space="preserve">3.5. </w:t>
      </w:r>
      <w:r w:rsidR="00B944B2" w:rsidRPr="00C14DB6">
        <w:rPr>
          <w:noProof w:val="0"/>
        </w:rPr>
        <w:t>Cortisol and subjective ratings as predictors for rsFC change.</w:t>
      </w:r>
    </w:p>
    <w:p w14:paraId="18172DA7" w14:textId="77777777" w:rsidR="00B944B2" w:rsidRPr="00C14DB6" w:rsidRDefault="00B944B2" w:rsidP="00C14DB6">
      <w:pPr>
        <w:pStyle w:val="MDPI31text"/>
        <w:ind w:left="0"/>
      </w:pPr>
      <w:r w:rsidRPr="00C14DB6">
        <w:t xml:space="preserve">To assess the impact of subjective and physiological stress reactivity on rsFC, we conducted exploratory multiple regression analyses. Therefore, the change in subjective ratings and cortisol levels from pre- to post-stress was calculated for each paradigm separately and used as predictors for the change in rsFC from pre- to post-stress. Sex and order of task presentation were additionally added as predictors. Please see Table 3 for the values of change for cortisol and subjective ratings that were used for analysis. </w:t>
      </w:r>
    </w:p>
    <w:p w14:paraId="4C3F27D3" w14:textId="2F9E0C2B" w:rsidR="00B944B2" w:rsidRPr="00C14DB6" w:rsidRDefault="004F33C9" w:rsidP="00C14DB6">
      <w:pPr>
        <w:pStyle w:val="MDPI23heading3"/>
        <w:spacing w:before="240"/>
        <w:ind w:left="0"/>
      </w:pPr>
      <w:r w:rsidRPr="00C14DB6">
        <w:t xml:space="preserve">3.5.1. </w:t>
      </w:r>
      <w:r w:rsidR="00B944B2" w:rsidRPr="00C14DB6">
        <w:t xml:space="preserve">Predictor: Change in cortisol from pre- to post-stress. </w:t>
      </w:r>
    </w:p>
    <w:p w14:paraId="2DE7A06C" w14:textId="77777777" w:rsidR="00B944B2" w:rsidRPr="00C14DB6" w:rsidRDefault="00B944B2" w:rsidP="00C14DB6">
      <w:pPr>
        <w:pStyle w:val="MDPI31text"/>
        <w:ind w:left="0"/>
      </w:pPr>
      <w:r w:rsidRPr="00C14DB6">
        <w:t xml:space="preserve">For change in cortisol from pre- to post-stress, we ran separate analyses for females and males, as we see differences in cortisol levels between sexes in the current sample and the interaction of sex with cortisol turned out to be significant in the regression (predictors: change in cortisol from pre- to post-stress and order of task presentation). </w:t>
      </w:r>
    </w:p>
    <w:p w14:paraId="2A020FC0" w14:textId="77777777" w:rsidR="00B944B2" w:rsidRPr="00C14DB6" w:rsidRDefault="00B944B2" w:rsidP="00C14DB6">
      <w:pPr>
        <w:pStyle w:val="MDPI31text"/>
        <w:ind w:left="0"/>
      </w:pPr>
      <w:r w:rsidRPr="00C14DB6">
        <w:rPr>
          <w:i/>
        </w:rPr>
        <w:t xml:space="preserve">Females, right amygdala–vACC; social exclusion. </w:t>
      </w:r>
      <w:r w:rsidRPr="00C14DB6">
        <w:t>For social exclusion, cortisol change was significantly positively associated with change in rsFC (R</w:t>
      </w:r>
      <w:r w:rsidRPr="00C14DB6">
        <w:rPr>
          <w:vertAlign w:val="superscript"/>
        </w:rPr>
        <w:t>2</w:t>
      </w:r>
      <w:r w:rsidRPr="00C14DB6">
        <w:t xml:space="preserve">=0.204, F(2,36)=4.624, p=.016). A decrease in cortisol during </w:t>
      </w:r>
      <w:r w:rsidRPr="00C14DB6">
        <w:lastRenderedPageBreak/>
        <w:t>social exclusion was associated with a decrease of rsFC between right amygdala and vACC (β=0.377, t=2.513, p=.017; see Figure 4C). No other significant association emerged (all ps&gt;.066).</w:t>
      </w:r>
    </w:p>
    <w:p w14:paraId="550F04BF" w14:textId="01613C37" w:rsidR="00B944B2" w:rsidRPr="00C14DB6" w:rsidRDefault="00B944B2" w:rsidP="00C14DB6">
      <w:pPr>
        <w:pStyle w:val="MDPI31text"/>
        <w:ind w:left="0"/>
      </w:pPr>
      <w:r w:rsidRPr="00C14DB6">
        <w:t>Change in cortisol from pre- to post-stress did not predict changes in any other rsFC neither for social exclusion nor for achievement stress in any of the two sexes (all ps &gt;.102).</w:t>
      </w:r>
    </w:p>
    <w:p w14:paraId="3C35FC70" w14:textId="3868ABD8" w:rsidR="00B944B2" w:rsidRPr="00C14DB6" w:rsidRDefault="004F33C9" w:rsidP="00C14DB6">
      <w:pPr>
        <w:pStyle w:val="MDPI41tablecaption"/>
        <w:ind w:left="0"/>
      </w:pPr>
      <w:r w:rsidRPr="00C14DB6">
        <w:rPr>
          <w:b/>
        </w:rPr>
        <w:t xml:space="preserve">Table 3. </w:t>
      </w:r>
      <w:r w:rsidR="00B944B2" w:rsidRPr="00C14DB6">
        <w:t>Changes in cortisol and subjective ratings due to social exclusion and achievement stress.</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877"/>
        <w:gridCol w:w="746"/>
        <w:gridCol w:w="746"/>
        <w:gridCol w:w="745"/>
        <w:gridCol w:w="747"/>
        <w:gridCol w:w="746"/>
        <w:gridCol w:w="745"/>
        <w:gridCol w:w="746"/>
        <w:gridCol w:w="741"/>
        <w:gridCol w:w="18"/>
      </w:tblGrid>
      <w:tr w:rsidR="00B944B2" w:rsidRPr="00C14DB6" w14:paraId="70981907" w14:textId="77777777" w:rsidTr="00D20538">
        <w:trPr>
          <w:gridAfter w:val="1"/>
          <w:wAfter w:w="18" w:type="dxa"/>
        </w:trPr>
        <w:tc>
          <w:tcPr>
            <w:tcW w:w="1877" w:type="dxa"/>
            <w:tcBorders>
              <w:top w:val="single" w:sz="8" w:space="0" w:color="auto"/>
              <w:bottom w:val="nil"/>
              <w:right w:val="nil"/>
            </w:tcBorders>
            <w:shd w:val="clear" w:color="auto" w:fill="auto"/>
            <w:vAlign w:val="center"/>
          </w:tcPr>
          <w:p w14:paraId="7E22217C" w14:textId="77777777" w:rsidR="00B944B2" w:rsidRPr="00C14DB6" w:rsidRDefault="00B944B2" w:rsidP="00C14DB6">
            <w:pPr>
              <w:pStyle w:val="MDPI42tablebody"/>
              <w:rPr>
                <w:b/>
                <w:snapToGrid/>
              </w:rPr>
            </w:pPr>
          </w:p>
        </w:tc>
        <w:tc>
          <w:tcPr>
            <w:tcW w:w="2984" w:type="dxa"/>
            <w:gridSpan w:val="4"/>
            <w:tcBorders>
              <w:top w:val="single" w:sz="8" w:space="0" w:color="auto"/>
              <w:left w:val="nil"/>
              <w:bottom w:val="single" w:sz="4" w:space="0" w:color="auto"/>
              <w:right w:val="nil"/>
            </w:tcBorders>
            <w:shd w:val="clear" w:color="auto" w:fill="auto"/>
            <w:vAlign w:val="center"/>
          </w:tcPr>
          <w:p w14:paraId="7E6B9937" w14:textId="77777777" w:rsidR="00B944B2" w:rsidRPr="00C14DB6" w:rsidRDefault="00B944B2" w:rsidP="00C14DB6">
            <w:pPr>
              <w:pStyle w:val="MDPI42tablebody"/>
              <w:rPr>
                <w:b/>
                <w:snapToGrid/>
              </w:rPr>
            </w:pPr>
            <w:r w:rsidRPr="00C14DB6">
              <w:rPr>
                <w:b/>
                <w:snapToGrid/>
              </w:rPr>
              <w:t>Social exclusion</w:t>
            </w:r>
          </w:p>
        </w:tc>
        <w:tc>
          <w:tcPr>
            <w:tcW w:w="2978" w:type="dxa"/>
            <w:gridSpan w:val="4"/>
            <w:tcBorders>
              <w:top w:val="single" w:sz="8" w:space="0" w:color="auto"/>
              <w:left w:val="nil"/>
              <w:bottom w:val="single" w:sz="4" w:space="0" w:color="auto"/>
            </w:tcBorders>
            <w:shd w:val="clear" w:color="auto" w:fill="auto"/>
            <w:vAlign w:val="center"/>
          </w:tcPr>
          <w:p w14:paraId="00E1C6E6" w14:textId="77777777" w:rsidR="00B944B2" w:rsidRPr="00C14DB6" w:rsidRDefault="00B944B2" w:rsidP="00C14DB6">
            <w:pPr>
              <w:pStyle w:val="MDPI42tablebody"/>
              <w:rPr>
                <w:b/>
                <w:snapToGrid/>
              </w:rPr>
            </w:pPr>
            <w:r w:rsidRPr="00C14DB6">
              <w:rPr>
                <w:b/>
                <w:snapToGrid/>
              </w:rPr>
              <w:t>Achievement stress</w:t>
            </w:r>
          </w:p>
        </w:tc>
      </w:tr>
      <w:tr w:rsidR="00B944B2" w:rsidRPr="00C14DB6" w14:paraId="1CED88DB" w14:textId="77777777" w:rsidTr="00D20538">
        <w:trPr>
          <w:gridAfter w:val="1"/>
          <w:wAfter w:w="18" w:type="dxa"/>
        </w:trPr>
        <w:tc>
          <w:tcPr>
            <w:tcW w:w="1877" w:type="dxa"/>
            <w:tcBorders>
              <w:top w:val="nil"/>
              <w:bottom w:val="nil"/>
              <w:right w:val="nil"/>
            </w:tcBorders>
            <w:shd w:val="clear" w:color="auto" w:fill="auto"/>
            <w:vAlign w:val="center"/>
          </w:tcPr>
          <w:p w14:paraId="16051995" w14:textId="77777777" w:rsidR="00B944B2" w:rsidRPr="00C14DB6" w:rsidRDefault="00B944B2" w:rsidP="00C14DB6">
            <w:pPr>
              <w:pStyle w:val="MDPI42tablebody"/>
              <w:rPr>
                <w:b/>
                <w:snapToGrid/>
              </w:rPr>
            </w:pPr>
          </w:p>
        </w:tc>
        <w:tc>
          <w:tcPr>
            <w:tcW w:w="1492" w:type="dxa"/>
            <w:gridSpan w:val="2"/>
            <w:tcBorders>
              <w:left w:val="nil"/>
              <w:bottom w:val="single" w:sz="4" w:space="0" w:color="auto"/>
              <w:right w:val="nil"/>
            </w:tcBorders>
            <w:shd w:val="clear" w:color="auto" w:fill="auto"/>
            <w:vAlign w:val="center"/>
          </w:tcPr>
          <w:p w14:paraId="5CB327B1" w14:textId="77777777" w:rsidR="00B944B2" w:rsidRPr="00C14DB6" w:rsidRDefault="00B944B2" w:rsidP="00C14DB6">
            <w:pPr>
              <w:pStyle w:val="MDPI42tablebody"/>
              <w:rPr>
                <w:b/>
                <w:snapToGrid/>
              </w:rPr>
            </w:pPr>
            <w:r w:rsidRPr="00C14DB6">
              <w:rPr>
                <w:b/>
                <w:snapToGrid/>
              </w:rPr>
              <w:t>Females (n=40)</w:t>
            </w:r>
          </w:p>
        </w:tc>
        <w:tc>
          <w:tcPr>
            <w:tcW w:w="1492" w:type="dxa"/>
            <w:gridSpan w:val="2"/>
            <w:tcBorders>
              <w:left w:val="nil"/>
              <w:bottom w:val="single" w:sz="4" w:space="0" w:color="auto"/>
              <w:right w:val="nil"/>
            </w:tcBorders>
            <w:shd w:val="clear" w:color="auto" w:fill="auto"/>
            <w:vAlign w:val="center"/>
          </w:tcPr>
          <w:p w14:paraId="6006A4D7" w14:textId="77777777" w:rsidR="00B944B2" w:rsidRPr="00C14DB6" w:rsidRDefault="00B944B2" w:rsidP="00C14DB6">
            <w:pPr>
              <w:pStyle w:val="MDPI42tablebody"/>
              <w:rPr>
                <w:b/>
                <w:snapToGrid/>
              </w:rPr>
            </w:pPr>
            <w:r w:rsidRPr="00C14DB6">
              <w:rPr>
                <w:b/>
                <w:snapToGrid/>
              </w:rPr>
              <w:t>Males (n=33)</w:t>
            </w:r>
          </w:p>
        </w:tc>
        <w:tc>
          <w:tcPr>
            <w:tcW w:w="1491" w:type="dxa"/>
            <w:gridSpan w:val="2"/>
            <w:tcBorders>
              <w:left w:val="nil"/>
              <w:bottom w:val="single" w:sz="4" w:space="0" w:color="auto"/>
              <w:right w:val="nil"/>
            </w:tcBorders>
            <w:shd w:val="clear" w:color="auto" w:fill="auto"/>
            <w:vAlign w:val="center"/>
          </w:tcPr>
          <w:p w14:paraId="79EEA963" w14:textId="77777777" w:rsidR="00B944B2" w:rsidRPr="00C14DB6" w:rsidRDefault="00B944B2" w:rsidP="00C14DB6">
            <w:pPr>
              <w:pStyle w:val="MDPI42tablebody"/>
              <w:rPr>
                <w:b/>
                <w:snapToGrid/>
              </w:rPr>
            </w:pPr>
            <w:r w:rsidRPr="00C14DB6">
              <w:rPr>
                <w:b/>
                <w:snapToGrid/>
              </w:rPr>
              <w:t>Females (n=40)</w:t>
            </w:r>
          </w:p>
        </w:tc>
        <w:tc>
          <w:tcPr>
            <w:tcW w:w="1487" w:type="dxa"/>
            <w:gridSpan w:val="2"/>
            <w:tcBorders>
              <w:left w:val="nil"/>
              <w:bottom w:val="single" w:sz="4" w:space="0" w:color="auto"/>
            </w:tcBorders>
            <w:shd w:val="clear" w:color="auto" w:fill="auto"/>
            <w:vAlign w:val="center"/>
          </w:tcPr>
          <w:p w14:paraId="53E540A3" w14:textId="77777777" w:rsidR="00B944B2" w:rsidRPr="00C14DB6" w:rsidRDefault="00B944B2" w:rsidP="00C14DB6">
            <w:pPr>
              <w:pStyle w:val="MDPI42tablebody"/>
              <w:rPr>
                <w:b/>
                <w:snapToGrid/>
              </w:rPr>
            </w:pPr>
            <w:r w:rsidRPr="00C14DB6">
              <w:rPr>
                <w:b/>
                <w:snapToGrid/>
              </w:rPr>
              <w:t>Males (n=33)</w:t>
            </w:r>
          </w:p>
        </w:tc>
      </w:tr>
      <w:tr w:rsidR="00B944B2" w:rsidRPr="00C14DB6" w14:paraId="106251E1" w14:textId="77777777" w:rsidTr="00D20538">
        <w:tc>
          <w:tcPr>
            <w:tcW w:w="1877" w:type="dxa"/>
            <w:tcBorders>
              <w:top w:val="nil"/>
              <w:bottom w:val="single" w:sz="4" w:space="0" w:color="auto"/>
              <w:right w:val="nil"/>
            </w:tcBorders>
            <w:shd w:val="clear" w:color="auto" w:fill="auto"/>
            <w:vAlign w:val="center"/>
          </w:tcPr>
          <w:p w14:paraId="5FA7F2A7" w14:textId="77777777" w:rsidR="00B944B2" w:rsidRPr="00C14DB6" w:rsidRDefault="00B944B2" w:rsidP="00C14DB6">
            <w:pPr>
              <w:pStyle w:val="MDPI42tablebody"/>
              <w:rPr>
                <w:b/>
                <w:snapToGrid/>
              </w:rPr>
            </w:pPr>
          </w:p>
        </w:tc>
        <w:tc>
          <w:tcPr>
            <w:tcW w:w="746" w:type="dxa"/>
            <w:tcBorders>
              <w:left w:val="nil"/>
              <w:bottom w:val="single" w:sz="4" w:space="0" w:color="auto"/>
              <w:right w:val="nil"/>
            </w:tcBorders>
            <w:shd w:val="clear" w:color="auto" w:fill="auto"/>
            <w:vAlign w:val="center"/>
          </w:tcPr>
          <w:p w14:paraId="4914DA3E" w14:textId="77777777" w:rsidR="00B944B2" w:rsidRPr="00C14DB6" w:rsidRDefault="00B944B2" w:rsidP="00C14DB6">
            <w:pPr>
              <w:pStyle w:val="MDPI42tablebody"/>
              <w:rPr>
                <w:b/>
                <w:snapToGrid/>
              </w:rPr>
            </w:pPr>
            <w:r w:rsidRPr="00C14DB6">
              <w:rPr>
                <w:b/>
                <w:snapToGrid/>
              </w:rPr>
              <w:t>Mean</w:t>
            </w:r>
          </w:p>
        </w:tc>
        <w:tc>
          <w:tcPr>
            <w:tcW w:w="746" w:type="dxa"/>
            <w:tcBorders>
              <w:left w:val="nil"/>
              <w:bottom w:val="single" w:sz="4" w:space="0" w:color="auto"/>
              <w:right w:val="nil"/>
            </w:tcBorders>
            <w:shd w:val="clear" w:color="auto" w:fill="auto"/>
            <w:vAlign w:val="center"/>
          </w:tcPr>
          <w:p w14:paraId="400553BE" w14:textId="77777777" w:rsidR="00B944B2" w:rsidRPr="00C14DB6" w:rsidRDefault="00B944B2" w:rsidP="00C14DB6">
            <w:pPr>
              <w:pStyle w:val="MDPI42tablebody"/>
              <w:rPr>
                <w:b/>
                <w:snapToGrid/>
              </w:rPr>
            </w:pPr>
            <w:r w:rsidRPr="00C14DB6">
              <w:rPr>
                <w:b/>
                <w:snapToGrid/>
              </w:rPr>
              <w:t>SD</w:t>
            </w:r>
          </w:p>
        </w:tc>
        <w:tc>
          <w:tcPr>
            <w:tcW w:w="745" w:type="dxa"/>
            <w:tcBorders>
              <w:left w:val="nil"/>
              <w:bottom w:val="single" w:sz="4" w:space="0" w:color="auto"/>
              <w:right w:val="nil"/>
            </w:tcBorders>
            <w:shd w:val="clear" w:color="auto" w:fill="auto"/>
            <w:vAlign w:val="center"/>
          </w:tcPr>
          <w:p w14:paraId="276A63FC" w14:textId="77777777" w:rsidR="00B944B2" w:rsidRPr="00C14DB6" w:rsidRDefault="00B944B2" w:rsidP="00C14DB6">
            <w:pPr>
              <w:pStyle w:val="MDPI42tablebody"/>
              <w:rPr>
                <w:b/>
                <w:snapToGrid/>
              </w:rPr>
            </w:pPr>
            <w:r w:rsidRPr="00C14DB6">
              <w:rPr>
                <w:b/>
                <w:snapToGrid/>
              </w:rPr>
              <w:t>Mean</w:t>
            </w:r>
          </w:p>
        </w:tc>
        <w:tc>
          <w:tcPr>
            <w:tcW w:w="747" w:type="dxa"/>
            <w:tcBorders>
              <w:left w:val="nil"/>
              <w:bottom w:val="single" w:sz="4" w:space="0" w:color="auto"/>
              <w:right w:val="nil"/>
            </w:tcBorders>
            <w:shd w:val="clear" w:color="auto" w:fill="auto"/>
            <w:vAlign w:val="center"/>
          </w:tcPr>
          <w:p w14:paraId="378A8AB9" w14:textId="77777777" w:rsidR="00B944B2" w:rsidRPr="00C14DB6" w:rsidRDefault="00B944B2" w:rsidP="00C14DB6">
            <w:pPr>
              <w:pStyle w:val="MDPI42tablebody"/>
              <w:rPr>
                <w:b/>
                <w:snapToGrid/>
              </w:rPr>
            </w:pPr>
            <w:r w:rsidRPr="00C14DB6">
              <w:rPr>
                <w:b/>
                <w:snapToGrid/>
              </w:rPr>
              <w:t>SD</w:t>
            </w:r>
          </w:p>
        </w:tc>
        <w:tc>
          <w:tcPr>
            <w:tcW w:w="746" w:type="dxa"/>
            <w:tcBorders>
              <w:left w:val="nil"/>
              <w:bottom w:val="single" w:sz="4" w:space="0" w:color="auto"/>
              <w:right w:val="nil"/>
            </w:tcBorders>
            <w:shd w:val="clear" w:color="auto" w:fill="auto"/>
            <w:vAlign w:val="center"/>
          </w:tcPr>
          <w:p w14:paraId="58F89C52" w14:textId="77777777" w:rsidR="00B944B2" w:rsidRPr="00C14DB6" w:rsidRDefault="00B944B2" w:rsidP="00C14DB6">
            <w:pPr>
              <w:pStyle w:val="MDPI42tablebody"/>
              <w:rPr>
                <w:b/>
                <w:snapToGrid/>
              </w:rPr>
            </w:pPr>
            <w:r w:rsidRPr="00C14DB6">
              <w:rPr>
                <w:b/>
                <w:snapToGrid/>
              </w:rPr>
              <w:t>Mean</w:t>
            </w:r>
          </w:p>
        </w:tc>
        <w:tc>
          <w:tcPr>
            <w:tcW w:w="745" w:type="dxa"/>
            <w:tcBorders>
              <w:left w:val="nil"/>
              <w:bottom w:val="single" w:sz="4" w:space="0" w:color="auto"/>
              <w:right w:val="nil"/>
            </w:tcBorders>
            <w:shd w:val="clear" w:color="auto" w:fill="auto"/>
            <w:vAlign w:val="center"/>
          </w:tcPr>
          <w:p w14:paraId="5491C9B5" w14:textId="77777777" w:rsidR="00B944B2" w:rsidRPr="00C14DB6" w:rsidRDefault="00B944B2" w:rsidP="00C14DB6">
            <w:pPr>
              <w:pStyle w:val="MDPI42tablebody"/>
              <w:rPr>
                <w:b/>
                <w:snapToGrid/>
              </w:rPr>
            </w:pPr>
            <w:r w:rsidRPr="00C14DB6">
              <w:rPr>
                <w:b/>
                <w:snapToGrid/>
              </w:rPr>
              <w:t>SD</w:t>
            </w:r>
          </w:p>
        </w:tc>
        <w:tc>
          <w:tcPr>
            <w:tcW w:w="746" w:type="dxa"/>
            <w:tcBorders>
              <w:left w:val="nil"/>
              <w:bottom w:val="single" w:sz="4" w:space="0" w:color="auto"/>
              <w:right w:val="nil"/>
            </w:tcBorders>
            <w:shd w:val="clear" w:color="auto" w:fill="auto"/>
            <w:vAlign w:val="center"/>
          </w:tcPr>
          <w:p w14:paraId="77F40F60" w14:textId="77777777" w:rsidR="00B944B2" w:rsidRPr="00C14DB6" w:rsidRDefault="00B944B2" w:rsidP="00C14DB6">
            <w:pPr>
              <w:pStyle w:val="MDPI42tablebody"/>
              <w:rPr>
                <w:b/>
                <w:snapToGrid/>
              </w:rPr>
            </w:pPr>
            <w:r w:rsidRPr="00C14DB6">
              <w:rPr>
                <w:b/>
                <w:snapToGrid/>
              </w:rPr>
              <w:t>Mean</w:t>
            </w:r>
          </w:p>
        </w:tc>
        <w:tc>
          <w:tcPr>
            <w:tcW w:w="759" w:type="dxa"/>
            <w:gridSpan w:val="2"/>
            <w:tcBorders>
              <w:left w:val="nil"/>
              <w:bottom w:val="single" w:sz="4" w:space="0" w:color="auto"/>
            </w:tcBorders>
            <w:shd w:val="clear" w:color="auto" w:fill="auto"/>
            <w:vAlign w:val="center"/>
          </w:tcPr>
          <w:p w14:paraId="68FEC1EB" w14:textId="77777777" w:rsidR="00B944B2" w:rsidRPr="00C14DB6" w:rsidRDefault="00B944B2" w:rsidP="00C14DB6">
            <w:pPr>
              <w:pStyle w:val="MDPI42tablebody"/>
              <w:rPr>
                <w:b/>
                <w:snapToGrid/>
              </w:rPr>
            </w:pPr>
            <w:r w:rsidRPr="00C14DB6">
              <w:rPr>
                <w:b/>
                <w:snapToGrid/>
              </w:rPr>
              <w:t>SD</w:t>
            </w:r>
          </w:p>
        </w:tc>
      </w:tr>
      <w:tr w:rsidR="00B944B2" w:rsidRPr="00C14DB6" w14:paraId="344F000F" w14:textId="77777777" w:rsidTr="00D20538">
        <w:tc>
          <w:tcPr>
            <w:tcW w:w="1877" w:type="dxa"/>
            <w:tcBorders>
              <w:right w:val="nil"/>
            </w:tcBorders>
            <w:shd w:val="clear" w:color="auto" w:fill="auto"/>
            <w:vAlign w:val="center"/>
          </w:tcPr>
          <w:p w14:paraId="26EBE1BB" w14:textId="77777777" w:rsidR="00B944B2" w:rsidRPr="00C14DB6" w:rsidRDefault="00B944B2" w:rsidP="00C14DB6">
            <w:pPr>
              <w:pStyle w:val="MDPI42tablebody"/>
            </w:pPr>
            <w:r w:rsidRPr="00C14DB6">
              <w:rPr>
                <w:szCs w:val="22"/>
              </w:rPr>
              <w:t>Change in cortisol [pg/mL]</w:t>
            </w:r>
          </w:p>
        </w:tc>
        <w:tc>
          <w:tcPr>
            <w:tcW w:w="746" w:type="dxa"/>
            <w:tcBorders>
              <w:left w:val="nil"/>
              <w:right w:val="nil"/>
            </w:tcBorders>
            <w:shd w:val="clear" w:color="auto" w:fill="auto"/>
            <w:vAlign w:val="center"/>
          </w:tcPr>
          <w:p w14:paraId="423F973A" w14:textId="77777777" w:rsidR="00B944B2" w:rsidRPr="00C14DB6" w:rsidRDefault="00B944B2" w:rsidP="00C14DB6">
            <w:pPr>
              <w:pStyle w:val="MDPI42tablebody"/>
            </w:pPr>
            <w:r w:rsidRPr="00C14DB6">
              <w:rPr>
                <w:szCs w:val="22"/>
              </w:rPr>
              <w:t>-115.05</w:t>
            </w:r>
          </w:p>
        </w:tc>
        <w:tc>
          <w:tcPr>
            <w:tcW w:w="746" w:type="dxa"/>
            <w:tcBorders>
              <w:left w:val="nil"/>
              <w:right w:val="nil"/>
            </w:tcBorders>
            <w:shd w:val="clear" w:color="auto" w:fill="auto"/>
            <w:vAlign w:val="center"/>
          </w:tcPr>
          <w:p w14:paraId="1C99732D" w14:textId="77777777" w:rsidR="00B944B2" w:rsidRPr="00C14DB6" w:rsidRDefault="00B944B2" w:rsidP="00C14DB6">
            <w:pPr>
              <w:pStyle w:val="MDPI42tablebody"/>
            </w:pPr>
            <w:r w:rsidRPr="00C14DB6">
              <w:rPr>
                <w:szCs w:val="22"/>
              </w:rPr>
              <w:t>437.71</w:t>
            </w:r>
          </w:p>
        </w:tc>
        <w:tc>
          <w:tcPr>
            <w:tcW w:w="745" w:type="dxa"/>
            <w:tcBorders>
              <w:left w:val="nil"/>
              <w:right w:val="nil"/>
            </w:tcBorders>
            <w:shd w:val="clear" w:color="auto" w:fill="auto"/>
            <w:vAlign w:val="center"/>
          </w:tcPr>
          <w:p w14:paraId="45E4366D" w14:textId="77777777" w:rsidR="00B944B2" w:rsidRPr="00C14DB6" w:rsidRDefault="00B944B2" w:rsidP="00C14DB6">
            <w:pPr>
              <w:pStyle w:val="MDPI42tablebody"/>
            </w:pPr>
            <w:r w:rsidRPr="00C14DB6">
              <w:rPr>
                <w:szCs w:val="22"/>
              </w:rPr>
              <w:t>-373.09</w:t>
            </w:r>
          </w:p>
        </w:tc>
        <w:tc>
          <w:tcPr>
            <w:tcW w:w="747" w:type="dxa"/>
            <w:tcBorders>
              <w:left w:val="nil"/>
              <w:right w:val="nil"/>
            </w:tcBorders>
            <w:shd w:val="clear" w:color="auto" w:fill="auto"/>
            <w:vAlign w:val="center"/>
          </w:tcPr>
          <w:p w14:paraId="5F08CC76" w14:textId="77777777" w:rsidR="00B944B2" w:rsidRPr="00C14DB6" w:rsidRDefault="00B944B2" w:rsidP="00C14DB6">
            <w:pPr>
              <w:pStyle w:val="MDPI42tablebody"/>
            </w:pPr>
            <w:r w:rsidRPr="00C14DB6">
              <w:rPr>
                <w:szCs w:val="22"/>
              </w:rPr>
              <w:t>1021.32</w:t>
            </w:r>
          </w:p>
        </w:tc>
        <w:tc>
          <w:tcPr>
            <w:tcW w:w="746" w:type="dxa"/>
            <w:tcBorders>
              <w:left w:val="nil"/>
              <w:right w:val="nil"/>
            </w:tcBorders>
            <w:shd w:val="clear" w:color="auto" w:fill="auto"/>
            <w:vAlign w:val="center"/>
          </w:tcPr>
          <w:p w14:paraId="6F98B50A" w14:textId="77777777" w:rsidR="00B944B2" w:rsidRPr="00C14DB6" w:rsidRDefault="00B944B2" w:rsidP="00C14DB6">
            <w:pPr>
              <w:pStyle w:val="MDPI42tablebody"/>
            </w:pPr>
            <w:r w:rsidRPr="00C14DB6">
              <w:rPr>
                <w:szCs w:val="22"/>
              </w:rPr>
              <w:t>124.15</w:t>
            </w:r>
          </w:p>
        </w:tc>
        <w:tc>
          <w:tcPr>
            <w:tcW w:w="745" w:type="dxa"/>
            <w:tcBorders>
              <w:left w:val="nil"/>
              <w:right w:val="nil"/>
            </w:tcBorders>
            <w:shd w:val="clear" w:color="auto" w:fill="auto"/>
            <w:vAlign w:val="center"/>
          </w:tcPr>
          <w:p w14:paraId="5066293B" w14:textId="77777777" w:rsidR="00B944B2" w:rsidRPr="00C14DB6" w:rsidRDefault="00B944B2" w:rsidP="00C14DB6">
            <w:pPr>
              <w:pStyle w:val="MDPI42tablebody"/>
            </w:pPr>
            <w:r w:rsidRPr="00C14DB6">
              <w:rPr>
                <w:szCs w:val="22"/>
              </w:rPr>
              <w:t>630.81</w:t>
            </w:r>
          </w:p>
        </w:tc>
        <w:tc>
          <w:tcPr>
            <w:tcW w:w="746" w:type="dxa"/>
            <w:tcBorders>
              <w:left w:val="nil"/>
              <w:right w:val="nil"/>
            </w:tcBorders>
            <w:shd w:val="clear" w:color="auto" w:fill="auto"/>
            <w:vAlign w:val="center"/>
          </w:tcPr>
          <w:p w14:paraId="7A48AC26" w14:textId="77777777" w:rsidR="00B944B2" w:rsidRPr="00C14DB6" w:rsidRDefault="00B944B2" w:rsidP="00C14DB6">
            <w:pPr>
              <w:pStyle w:val="MDPI42tablebody"/>
            </w:pPr>
            <w:r w:rsidRPr="00C14DB6">
              <w:rPr>
                <w:szCs w:val="22"/>
              </w:rPr>
              <w:t>-152.91</w:t>
            </w:r>
          </w:p>
        </w:tc>
        <w:tc>
          <w:tcPr>
            <w:tcW w:w="759" w:type="dxa"/>
            <w:gridSpan w:val="2"/>
            <w:tcBorders>
              <w:left w:val="nil"/>
            </w:tcBorders>
            <w:shd w:val="clear" w:color="auto" w:fill="auto"/>
            <w:vAlign w:val="center"/>
          </w:tcPr>
          <w:p w14:paraId="51012756" w14:textId="77777777" w:rsidR="00B944B2" w:rsidRPr="00C14DB6" w:rsidRDefault="00B944B2" w:rsidP="00C14DB6">
            <w:pPr>
              <w:pStyle w:val="MDPI42tablebody"/>
            </w:pPr>
            <w:r w:rsidRPr="00C14DB6">
              <w:rPr>
                <w:szCs w:val="22"/>
              </w:rPr>
              <w:t>909.76</w:t>
            </w:r>
          </w:p>
        </w:tc>
      </w:tr>
      <w:tr w:rsidR="00B944B2" w:rsidRPr="00C14DB6" w14:paraId="06F3AC6B" w14:textId="77777777" w:rsidTr="00D20538">
        <w:tc>
          <w:tcPr>
            <w:tcW w:w="1877" w:type="dxa"/>
            <w:tcBorders>
              <w:right w:val="nil"/>
            </w:tcBorders>
            <w:shd w:val="clear" w:color="auto" w:fill="auto"/>
            <w:vAlign w:val="center"/>
          </w:tcPr>
          <w:p w14:paraId="55C215EA" w14:textId="77777777" w:rsidR="00B944B2" w:rsidRPr="00C14DB6" w:rsidRDefault="00B944B2" w:rsidP="00C14DB6">
            <w:pPr>
              <w:pStyle w:val="MDPI42tablebody"/>
            </w:pPr>
            <w:r w:rsidRPr="00C14DB6">
              <w:rPr>
                <w:szCs w:val="22"/>
              </w:rPr>
              <w:t>Change in positive affect (PANAS)</w:t>
            </w:r>
          </w:p>
        </w:tc>
        <w:tc>
          <w:tcPr>
            <w:tcW w:w="746" w:type="dxa"/>
            <w:tcBorders>
              <w:left w:val="nil"/>
              <w:right w:val="nil"/>
            </w:tcBorders>
            <w:shd w:val="clear" w:color="auto" w:fill="auto"/>
            <w:vAlign w:val="center"/>
          </w:tcPr>
          <w:p w14:paraId="11CFA361" w14:textId="77777777" w:rsidR="00B944B2" w:rsidRPr="00C14DB6" w:rsidRDefault="00B944B2" w:rsidP="00C14DB6">
            <w:pPr>
              <w:pStyle w:val="MDPI42tablebody"/>
            </w:pPr>
            <w:r w:rsidRPr="00C14DB6">
              <w:rPr>
                <w:szCs w:val="22"/>
              </w:rPr>
              <w:t>-0.26</w:t>
            </w:r>
          </w:p>
        </w:tc>
        <w:tc>
          <w:tcPr>
            <w:tcW w:w="746" w:type="dxa"/>
            <w:tcBorders>
              <w:left w:val="nil"/>
              <w:right w:val="nil"/>
            </w:tcBorders>
            <w:shd w:val="clear" w:color="auto" w:fill="auto"/>
            <w:vAlign w:val="center"/>
          </w:tcPr>
          <w:p w14:paraId="65BB6CE5" w14:textId="77777777" w:rsidR="00B944B2" w:rsidRPr="00C14DB6" w:rsidRDefault="00B944B2" w:rsidP="00C14DB6">
            <w:pPr>
              <w:pStyle w:val="MDPI42tablebody"/>
            </w:pPr>
            <w:r w:rsidRPr="00C14DB6">
              <w:rPr>
                <w:szCs w:val="22"/>
              </w:rPr>
              <w:t>0.55</w:t>
            </w:r>
          </w:p>
        </w:tc>
        <w:tc>
          <w:tcPr>
            <w:tcW w:w="745" w:type="dxa"/>
            <w:tcBorders>
              <w:left w:val="nil"/>
              <w:right w:val="nil"/>
            </w:tcBorders>
            <w:shd w:val="clear" w:color="auto" w:fill="auto"/>
            <w:vAlign w:val="center"/>
          </w:tcPr>
          <w:p w14:paraId="624D70EB" w14:textId="77777777" w:rsidR="00B944B2" w:rsidRPr="00C14DB6" w:rsidRDefault="00B944B2" w:rsidP="00C14DB6">
            <w:pPr>
              <w:pStyle w:val="MDPI42tablebody"/>
            </w:pPr>
            <w:r w:rsidRPr="00C14DB6">
              <w:rPr>
                <w:szCs w:val="22"/>
              </w:rPr>
              <w:t>-0.24</w:t>
            </w:r>
          </w:p>
        </w:tc>
        <w:tc>
          <w:tcPr>
            <w:tcW w:w="747" w:type="dxa"/>
            <w:tcBorders>
              <w:left w:val="nil"/>
              <w:right w:val="nil"/>
            </w:tcBorders>
            <w:shd w:val="clear" w:color="auto" w:fill="auto"/>
            <w:vAlign w:val="center"/>
          </w:tcPr>
          <w:p w14:paraId="4FF1DE82" w14:textId="77777777" w:rsidR="00B944B2" w:rsidRPr="00C14DB6" w:rsidRDefault="00B944B2" w:rsidP="00C14DB6">
            <w:pPr>
              <w:pStyle w:val="MDPI42tablebody"/>
            </w:pPr>
            <w:r w:rsidRPr="00C14DB6">
              <w:rPr>
                <w:szCs w:val="22"/>
              </w:rPr>
              <w:t>0.57</w:t>
            </w:r>
          </w:p>
        </w:tc>
        <w:tc>
          <w:tcPr>
            <w:tcW w:w="746" w:type="dxa"/>
            <w:tcBorders>
              <w:left w:val="nil"/>
              <w:right w:val="nil"/>
            </w:tcBorders>
            <w:shd w:val="clear" w:color="auto" w:fill="auto"/>
            <w:vAlign w:val="center"/>
          </w:tcPr>
          <w:p w14:paraId="0CF1F3BA" w14:textId="77777777" w:rsidR="00B944B2" w:rsidRPr="00C14DB6" w:rsidRDefault="00B944B2" w:rsidP="00C14DB6">
            <w:pPr>
              <w:pStyle w:val="MDPI42tablebody"/>
            </w:pPr>
            <w:r w:rsidRPr="00C14DB6">
              <w:rPr>
                <w:szCs w:val="22"/>
              </w:rPr>
              <w:t>-0.11</w:t>
            </w:r>
          </w:p>
        </w:tc>
        <w:tc>
          <w:tcPr>
            <w:tcW w:w="745" w:type="dxa"/>
            <w:tcBorders>
              <w:left w:val="nil"/>
              <w:right w:val="nil"/>
            </w:tcBorders>
            <w:shd w:val="clear" w:color="auto" w:fill="auto"/>
            <w:vAlign w:val="center"/>
          </w:tcPr>
          <w:p w14:paraId="391FD986" w14:textId="77777777" w:rsidR="00B944B2" w:rsidRPr="00C14DB6" w:rsidRDefault="00B944B2" w:rsidP="00C14DB6">
            <w:pPr>
              <w:pStyle w:val="MDPI42tablebody"/>
            </w:pPr>
            <w:r w:rsidRPr="00C14DB6">
              <w:rPr>
                <w:szCs w:val="22"/>
              </w:rPr>
              <w:t>0.61</w:t>
            </w:r>
          </w:p>
        </w:tc>
        <w:tc>
          <w:tcPr>
            <w:tcW w:w="746" w:type="dxa"/>
            <w:tcBorders>
              <w:left w:val="nil"/>
              <w:right w:val="nil"/>
            </w:tcBorders>
            <w:shd w:val="clear" w:color="auto" w:fill="auto"/>
            <w:vAlign w:val="center"/>
          </w:tcPr>
          <w:p w14:paraId="15E8B0F0" w14:textId="77777777" w:rsidR="00B944B2" w:rsidRPr="00C14DB6" w:rsidRDefault="00B944B2" w:rsidP="00C14DB6">
            <w:pPr>
              <w:pStyle w:val="MDPI42tablebody"/>
            </w:pPr>
            <w:r w:rsidRPr="00C14DB6">
              <w:rPr>
                <w:szCs w:val="22"/>
              </w:rPr>
              <w:t>-0.21</w:t>
            </w:r>
          </w:p>
        </w:tc>
        <w:tc>
          <w:tcPr>
            <w:tcW w:w="759" w:type="dxa"/>
            <w:gridSpan w:val="2"/>
            <w:tcBorders>
              <w:left w:val="nil"/>
            </w:tcBorders>
            <w:shd w:val="clear" w:color="auto" w:fill="auto"/>
            <w:vAlign w:val="center"/>
          </w:tcPr>
          <w:p w14:paraId="1AD8B710" w14:textId="77777777" w:rsidR="00B944B2" w:rsidRPr="00C14DB6" w:rsidRDefault="00B944B2" w:rsidP="00C14DB6">
            <w:pPr>
              <w:pStyle w:val="MDPI42tablebody"/>
            </w:pPr>
            <w:r w:rsidRPr="00C14DB6">
              <w:rPr>
                <w:szCs w:val="22"/>
              </w:rPr>
              <w:t>0.58</w:t>
            </w:r>
          </w:p>
        </w:tc>
      </w:tr>
      <w:tr w:rsidR="00B944B2" w:rsidRPr="00C14DB6" w14:paraId="2CD62F1D" w14:textId="77777777" w:rsidTr="00D20538">
        <w:tc>
          <w:tcPr>
            <w:tcW w:w="1877" w:type="dxa"/>
            <w:tcBorders>
              <w:right w:val="nil"/>
            </w:tcBorders>
            <w:shd w:val="clear" w:color="auto" w:fill="auto"/>
            <w:vAlign w:val="center"/>
          </w:tcPr>
          <w:p w14:paraId="4D2A42E9" w14:textId="77777777" w:rsidR="00B944B2" w:rsidRPr="00C14DB6" w:rsidRDefault="00B944B2" w:rsidP="00C14DB6">
            <w:pPr>
              <w:pStyle w:val="MDPI42tablebody"/>
            </w:pPr>
            <w:r w:rsidRPr="00C14DB6">
              <w:rPr>
                <w:szCs w:val="22"/>
              </w:rPr>
              <w:t>Change in negative affect (PANAS)</w:t>
            </w:r>
          </w:p>
        </w:tc>
        <w:tc>
          <w:tcPr>
            <w:tcW w:w="746" w:type="dxa"/>
            <w:tcBorders>
              <w:left w:val="nil"/>
              <w:right w:val="nil"/>
            </w:tcBorders>
            <w:shd w:val="clear" w:color="auto" w:fill="auto"/>
            <w:vAlign w:val="center"/>
          </w:tcPr>
          <w:p w14:paraId="6955CDC4" w14:textId="77777777" w:rsidR="00B944B2" w:rsidRPr="00C14DB6" w:rsidRDefault="00B944B2" w:rsidP="00C14DB6">
            <w:pPr>
              <w:pStyle w:val="MDPI42tablebody"/>
            </w:pPr>
            <w:r w:rsidRPr="00C14DB6">
              <w:rPr>
                <w:szCs w:val="22"/>
              </w:rPr>
              <w:t>0.03</w:t>
            </w:r>
          </w:p>
        </w:tc>
        <w:tc>
          <w:tcPr>
            <w:tcW w:w="746" w:type="dxa"/>
            <w:tcBorders>
              <w:left w:val="nil"/>
              <w:right w:val="nil"/>
            </w:tcBorders>
            <w:shd w:val="clear" w:color="auto" w:fill="auto"/>
            <w:vAlign w:val="center"/>
          </w:tcPr>
          <w:p w14:paraId="1BC3D257" w14:textId="77777777" w:rsidR="00B944B2" w:rsidRPr="00C14DB6" w:rsidRDefault="00B944B2" w:rsidP="00C14DB6">
            <w:pPr>
              <w:pStyle w:val="MDPI42tablebody"/>
            </w:pPr>
            <w:r w:rsidRPr="00C14DB6">
              <w:rPr>
                <w:szCs w:val="22"/>
              </w:rPr>
              <w:t>0.25</w:t>
            </w:r>
          </w:p>
        </w:tc>
        <w:tc>
          <w:tcPr>
            <w:tcW w:w="745" w:type="dxa"/>
            <w:tcBorders>
              <w:left w:val="nil"/>
              <w:right w:val="nil"/>
            </w:tcBorders>
            <w:shd w:val="clear" w:color="auto" w:fill="auto"/>
            <w:vAlign w:val="center"/>
          </w:tcPr>
          <w:p w14:paraId="426909EE" w14:textId="77777777" w:rsidR="00B944B2" w:rsidRPr="00C14DB6" w:rsidRDefault="00B944B2" w:rsidP="00C14DB6">
            <w:pPr>
              <w:pStyle w:val="MDPI42tablebody"/>
            </w:pPr>
            <w:r w:rsidRPr="00C14DB6">
              <w:rPr>
                <w:szCs w:val="22"/>
              </w:rPr>
              <w:t>0.05</w:t>
            </w:r>
          </w:p>
        </w:tc>
        <w:tc>
          <w:tcPr>
            <w:tcW w:w="747" w:type="dxa"/>
            <w:tcBorders>
              <w:left w:val="nil"/>
              <w:right w:val="nil"/>
            </w:tcBorders>
            <w:shd w:val="clear" w:color="auto" w:fill="auto"/>
            <w:vAlign w:val="center"/>
          </w:tcPr>
          <w:p w14:paraId="52AEBD63" w14:textId="77777777" w:rsidR="00B944B2" w:rsidRPr="00C14DB6" w:rsidRDefault="00B944B2" w:rsidP="00C14DB6">
            <w:pPr>
              <w:pStyle w:val="MDPI42tablebody"/>
            </w:pPr>
            <w:r w:rsidRPr="00C14DB6">
              <w:rPr>
                <w:szCs w:val="22"/>
              </w:rPr>
              <w:t>0.25</w:t>
            </w:r>
          </w:p>
        </w:tc>
        <w:tc>
          <w:tcPr>
            <w:tcW w:w="746" w:type="dxa"/>
            <w:tcBorders>
              <w:left w:val="nil"/>
              <w:right w:val="nil"/>
            </w:tcBorders>
            <w:shd w:val="clear" w:color="auto" w:fill="auto"/>
            <w:vAlign w:val="center"/>
          </w:tcPr>
          <w:p w14:paraId="14A45536" w14:textId="77777777" w:rsidR="00B944B2" w:rsidRPr="00C14DB6" w:rsidRDefault="00B944B2" w:rsidP="00C14DB6">
            <w:pPr>
              <w:pStyle w:val="MDPI42tablebody"/>
            </w:pPr>
            <w:r w:rsidRPr="00C14DB6">
              <w:rPr>
                <w:szCs w:val="22"/>
              </w:rPr>
              <w:t>0.19</w:t>
            </w:r>
          </w:p>
        </w:tc>
        <w:tc>
          <w:tcPr>
            <w:tcW w:w="745" w:type="dxa"/>
            <w:tcBorders>
              <w:left w:val="nil"/>
              <w:right w:val="nil"/>
            </w:tcBorders>
            <w:shd w:val="clear" w:color="auto" w:fill="auto"/>
            <w:vAlign w:val="center"/>
          </w:tcPr>
          <w:p w14:paraId="7F65AEB6" w14:textId="77777777" w:rsidR="00B944B2" w:rsidRPr="00C14DB6" w:rsidRDefault="00B944B2" w:rsidP="00C14DB6">
            <w:pPr>
              <w:pStyle w:val="MDPI42tablebody"/>
            </w:pPr>
            <w:r w:rsidRPr="00C14DB6">
              <w:rPr>
                <w:szCs w:val="22"/>
              </w:rPr>
              <w:t>0.51</w:t>
            </w:r>
          </w:p>
        </w:tc>
        <w:tc>
          <w:tcPr>
            <w:tcW w:w="746" w:type="dxa"/>
            <w:tcBorders>
              <w:left w:val="nil"/>
              <w:right w:val="nil"/>
            </w:tcBorders>
            <w:shd w:val="clear" w:color="auto" w:fill="auto"/>
            <w:vAlign w:val="center"/>
          </w:tcPr>
          <w:p w14:paraId="7AEC81DC" w14:textId="77777777" w:rsidR="00B944B2" w:rsidRPr="00C14DB6" w:rsidRDefault="00B944B2" w:rsidP="00C14DB6">
            <w:pPr>
              <w:pStyle w:val="MDPI42tablebody"/>
            </w:pPr>
            <w:r w:rsidRPr="00C14DB6">
              <w:rPr>
                <w:szCs w:val="22"/>
              </w:rPr>
              <w:t>0.11</w:t>
            </w:r>
          </w:p>
        </w:tc>
        <w:tc>
          <w:tcPr>
            <w:tcW w:w="759" w:type="dxa"/>
            <w:gridSpan w:val="2"/>
            <w:tcBorders>
              <w:left w:val="nil"/>
            </w:tcBorders>
            <w:shd w:val="clear" w:color="auto" w:fill="auto"/>
            <w:vAlign w:val="center"/>
          </w:tcPr>
          <w:p w14:paraId="5E3EDDF7" w14:textId="77777777" w:rsidR="00B944B2" w:rsidRPr="00C14DB6" w:rsidRDefault="00B944B2" w:rsidP="00C14DB6">
            <w:pPr>
              <w:pStyle w:val="MDPI42tablebody"/>
            </w:pPr>
            <w:r w:rsidRPr="00C14DB6">
              <w:rPr>
                <w:szCs w:val="22"/>
              </w:rPr>
              <w:t>0.30</w:t>
            </w:r>
          </w:p>
        </w:tc>
      </w:tr>
      <w:tr w:rsidR="00B944B2" w:rsidRPr="00C14DB6" w14:paraId="40A3556B" w14:textId="77777777" w:rsidTr="00D20538">
        <w:tc>
          <w:tcPr>
            <w:tcW w:w="1877" w:type="dxa"/>
            <w:tcBorders>
              <w:bottom w:val="single" w:sz="8" w:space="0" w:color="auto"/>
              <w:right w:val="nil"/>
            </w:tcBorders>
            <w:shd w:val="clear" w:color="auto" w:fill="auto"/>
            <w:vAlign w:val="center"/>
          </w:tcPr>
          <w:p w14:paraId="2FDA31F8" w14:textId="77777777" w:rsidR="00B944B2" w:rsidRPr="00C14DB6" w:rsidRDefault="00B944B2" w:rsidP="00C14DB6">
            <w:pPr>
              <w:pStyle w:val="MDPI42tablebody"/>
            </w:pPr>
            <w:r w:rsidRPr="00C14DB6">
              <w:rPr>
                <w:szCs w:val="22"/>
              </w:rPr>
              <w:t>Change in anger (ESR)</w:t>
            </w:r>
          </w:p>
        </w:tc>
        <w:tc>
          <w:tcPr>
            <w:tcW w:w="746" w:type="dxa"/>
            <w:tcBorders>
              <w:left w:val="nil"/>
              <w:bottom w:val="single" w:sz="8" w:space="0" w:color="auto"/>
              <w:right w:val="nil"/>
            </w:tcBorders>
            <w:shd w:val="clear" w:color="auto" w:fill="auto"/>
            <w:vAlign w:val="center"/>
          </w:tcPr>
          <w:p w14:paraId="60BBC70A" w14:textId="77777777" w:rsidR="00B944B2" w:rsidRPr="00C14DB6" w:rsidRDefault="00B944B2" w:rsidP="00C14DB6">
            <w:pPr>
              <w:pStyle w:val="MDPI42tablebody"/>
            </w:pPr>
            <w:r w:rsidRPr="00C14DB6">
              <w:rPr>
                <w:szCs w:val="22"/>
              </w:rPr>
              <w:t>0.18</w:t>
            </w:r>
          </w:p>
        </w:tc>
        <w:tc>
          <w:tcPr>
            <w:tcW w:w="746" w:type="dxa"/>
            <w:tcBorders>
              <w:left w:val="nil"/>
              <w:bottom w:val="single" w:sz="8" w:space="0" w:color="auto"/>
              <w:right w:val="nil"/>
            </w:tcBorders>
            <w:shd w:val="clear" w:color="auto" w:fill="auto"/>
            <w:vAlign w:val="center"/>
          </w:tcPr>
          <w:p w14:paraId="1ECFC392" w14:textId="77777777" w:rsidR="00B944B2" w:rsidRPr="00C14DB6" w:rsidRDefault="00B944B2" w:rsidP="00C14DB6">
            <w:pPr>
              <w:pStyle w:val="MDPI42tablebody"/>
            </w:pPr>
            <w:r w:rsidRPr="00C14DB6">
              <w:rPr>
                <w:szCs w:val="22"/>
              </w:rPr>
              <w:t>0.64</w:t>
            </w:r>
          </w:p>
        </w:tc>
        <w:tc>
          <w:tcPr>
            <w:tcW w:w="745" w:type="dxa"/>
            <w:tcBorders>
              <w:left w:val="nil"/>
              <w:bottom w:val="single" w:sz="8" w:space="0" w:color="auto"/>
              <w:right w:val="nil"/>
            </w:tcBorders>
            <w:shd w:val="clear" w:color="auto" w:fill="auto"/>
            <w:vAlign w:val="center"/>
          </w:tcPr>
          <w:p w14:paraId="238E71F6" w14:textId="77777777" w:rsidR="00B944B2" w:rsidRPr="00C14DB6" w:rsidRDefault="00B944B2" w:rsidP="00C14DB6">
            <w:pPr>
              <w:pStyle w:val="MDPI42tablebody"/>
            </w:pPr>
            <w:r w:rsidRPr="00C14DB6">
              <w:rPr>
                <w:szCs w:val="22"/>
              </w:rPr>
              <w:t>0.24</w:t>
            </w:r>
          </w:p>
        </w:tc>
        <w:tc>
          <w:tcPr>
            <w:tcW w:w="747" w:type="dxa"/>
            <w:tcBorders>
              <w:left w:val="nil"/>
              <w:bottom w:val="single" w:sz="8" w:space="0" w:color="auto"/>
              <w:right w:val="nil"/>
            </w:tcBorders>
            <w:shd w:val="clear" w:color="auto" w:fill="auto"/>
            <w:vAlign w:val="center"/>
          </w:tcPr>
          <w:p w14:paraId="2AB6AD81" w14:textId="77777777" w:rsidR="00B944B2" w:rsidRPr="00C14DB6" w:rsidRDefault="00B944B2" w:rsidP="00C14DB6">
            <w:pPr>
              <w:pStyle w:val="MDPI42tablebody"/>
            </w:pPr>
            <w:r w:rsidRPr="00C14DB6">
              <w:rPr>
                <w:szCs w:val="22"/>
              </w:rPr>
              <w:t>0.61</w:t>
            </w:r>
          </w:p>
        </w:tc>
        <w:tc>
          <w:tcPr>
            <w:tcW w:w="746" w:type="dxa"/>
            <w:tcBorders>
              <w:left w:val="nil"/>
              <w:bottom w:val="single" w:sz="8" w:space="0" w:color="auto"/>
              <w:right w:val="nil"/>
            </w:tcBorders>
            <w:shd w:val="clear" w:color="auto" w:fill="auto"/>
            <w:vAlign w:val="center"/>
          </w:tcPr>
          <w:p w14:paraId="3D2AFE1D" w14:textId="77777777" w:rsidR="00B944B2" w:rsidRPr="00C14DB6" w:rsidRDefault="00B944B2" w:rsidP="00C14DB6">
            <w:pPr>
              <w:pStyle w:val="MDPI42tablebody"/>
            </w:pPr>
            <w:r w:rsidRPr="00C14DB6">
              <w:rPr>
                <w:szCs w:val="22"/>
              </w:rPr>
              <w:t>0.80</w:t>
            </w:r>
          </w:p>
        </w:tc>
        <w:tc>
          <w:tcPr>
            <w:tcW w:w="745" w:type="dxa"/>
            <w:tcBorders>
              <w:left w:val="nil"/>
              <w:bottom w:val="single" w:sz="8" w:space="0" w:color="auto"/>
              <w:right w:val="nil"/>
            </w:tcBorders>
            <w:shd w:val="clear" w:color="auto" w:fill="auto"/>
            <w:vAlign w:val="center"/>
          </w:tcPr>
          <w:p w14:paraId="3563669E" w14:textId="77777777" w:rsidR="00B944B2" w:rsidRPr="00C14DB6" w:rsidRDefault="00B944B2" w:rsidP="00C14DB6">
            <w:pPr>
              <w:pStyle w:val="MDPI42tablebody"/>
            </w:pPr>
            <w:r w:rsidRPr="00C14DB6">
              <w:rPr>
                <w:szCs w:val="22"/>
              </w:rPr>
              <w:t>1.11</w:t>
            </w:r>
          </w:p>
        </w:tc>
        <w:tc>
          <w:tcPr>
            <w:tcW w:w="746" w:type="dxa"/>
            <w:tcBorders>
              <w:left w:val="nil"/>
              <w:bottom w:val="single" w:sz="8" w:space="0" w:color="auto"/>
              <w:right w:val="nil"/>
            </w:tcBorders>
            <w:shd w:val="clear" w:color="auto" w:fill="auto"/>
            <w:vAlign w:val="center"/>
          </w:tcPr>
          <w:p w14:paraId="41648B33" w14:textId="77777777" w:rsidR="00B944B2" w:rsidRPr="00C14DB6" w:rsidRDefault="00B944B2" w:rsidP="00C14DB6">
            <w:pPr>
              <w:pStyle w:val="MDPI42tablebody"/>
            </w:pPr>
            <w:r w:rsidRPr="00C14DB6">
              <w:rPr>
                <w:szCs w:val="22"/>
              </w:rPr>
              <w:t>0.76</w:t>
            </w:r>
          </w:p>
        </w:tc>
        <w:tc>
          <w:tcPr>
            <w:tcW w:w="759" w:type="dxa"/>
            <w:gridSpan w:val="2"/>
            <w:tcBorders>
              <w:left w:val="nil"/>
              <w:bottom w:val="single" w:sz="8" w:space="0" w:color="auto"/>
            </w:tcBorders>
            <w:shd w:val="clear" w:color="auto" w:fill="auto"/>
            <w:vAlign w:val="center"/>
          </w:tcPr>
          <w:p w14:paraId="493CE829" w14:textId="77777777" w:rsidR="00B944B2" w:rsidRPr="00C14DB6" w:rsidRDefault="00B944B2" w:rsidP="00C14DB6">
            <w:pPr>
              <w:pStyle w:val="MDPI42tablebody"/>
            </w:pPr>
            <w:r w:rsidRPr="00C14DB6">
              <w:rPr>
                <w:szCs w:val="22"/>
              </w:rPr>
              <w:t>1.06</w:t>
            </w:r>
          </w:p>
        </w:tc>
      </w:tr>
    </w:tbl>
    <w:p w14:paraId="4C01E504" w14:textId="12D1B99E" w:rsidR="00B944B2" w:rsidRPr="00C14DB6" w:rsidRDefault="00B944B2" w:rsidP="00C14DB6">
      <w:pPr>
        <w:pStyle w:val="MDPI43tablefooter"/>
        <w:spacing w:after="240"/>
        <w:ind w:left="0"/>
      </w:pPr>
      <w:r w:rsidRPr="00C14DB6">
        <w:rPr>
          <w:b/>
          <w:bCs/>
        </w:rPr>
        <w:t>Note</w:t>
      </w:r>
      <w:r w:rsidRPr="00C14DB6">
        <w:t>. Abbreviations: SD = standard deviation; PANAS = Positive and Negative Affect Scale; ESR = Emotional Scale Rating.</w:t>
      </w:r>
    </w:p>
    <w:p w14:paraId="7FBB9681" w14:textId="38B0AB3B" w:rsidR="00B944B2" w:rsidRPr="00C14DB6" w:rsidRDefault="00A5616E" w:rsidP="00C14DB6">
      <w:pPr>
        <w:pStyle w:val="MDPI23heading3"/>
        <w:spacing w:before="240"/>
        <w:ind w:left="0"/>
      </w:pPr>
      <w:r w:rsidRPr="00C14DB6">
        <w:t xml:space="preserve">3.5.2. </w:t>
      </w:r>
      <w:r w:rsidR="00B944B2" w:rsidRPr="00C14DB6">
        <w:t>Predictor: Change in positive affect from pre- to post-stress.</w:t>
      </w:r>
    </w:p>
    <w:p w14:paraId="5A89C62D" w14:textId="77777777" w:rsidR="00B944B2" w:rsidRPr="00C14DB6" w:rsidRDefault="00B944B2" w:rsidP="00C14DB6">
      <w:pPr>
        <w:pStyle w:val="MDPI31text"/>
        <w:ind w:left="0"/>
      </w:pPr>
      <w:r w:rsidRPr="00C14DB6">
        <w:t>For change in positive affect from pre- to post-stress, multiple regression analyses were performed with the predictors: change in positive affect, sex and order of task presentation.</w:t>
      </w:r>
    </w:p>
    <w:p w14:paraId="72849B2A" w14:textId="77777777" w:rsidR="00B944B2" w:rsidRPr="00C14DB6" w:rsidRDefault="00B944B2" w:rsidP="00C14DB6">
      <w:pPr>
        <w:pStyle w:val="MDPI31text"/>
        <w:ind w:left="0"/>
      </w:pPr>
      <w:r w:rsidRPr="00C14DB6">
        <w:rPr>
          <w:i/>
        </w:rPr>
        <w:t>Left amygdala–mPFC, achievement stress.</w:t>
      </w:r>
      <w:r w:rsidRPr="00C14DB6">
        <w:rPr>
          <w:b/>
        </w:rPr>
        <w:t xml:space="preserve"> </w:t>
      </w:r>
      <w:r w:rsidRPr="00C14DB6">
        <w:rPr>
          <w:bCs/>
        </w:rPr>
        <w:t xml:space="preserve">Changes in </w:t>
      </w:r>
      <w:r w:rsidRPr="00C14DB6">
        <w:t>positive affect had a significant negative relationship with changes in rsFC (model R</w:t>
      </w:r>
      <w:r w:rsidRPr="00C14DB6">
        <w:rPr>
          <w:vertAlign w:val="superscript"/>
        </w:rPr>
        <w:t>2</w:t>
      </w:r>
      <w:r w:rsidRPr="00C14DB6">
        <w:t>=0.132; F(3,69)=3.497, p=.020) for achievement stress across both sexes. A decrease in positive affect due to achievement stress was associated with an increase in rsFC (β=-0.227, t=-2.003, p=.049, see Figure 5A).</w:t>
      </w:r>
    </w:p>
    <w:p w14:paraId="64418CE5" w14:textId="77777777" w:rsidR="00B944B2" w:rsidRPr="00C14DB6" w:rsidRDefault="00B944B2" w:rsidP="00C14DB6">
      <w:pPr>
        <w:pStyle w:val="MDPI31text"/>
        <w:ind w:left="0"/>
      </w:pPr>
      <w:r w:rsidRPr="00C14DB6">
        <w:t xml:space="preserve">Change in positive affect from pre- to post-stress did not predict changes in any other rsFC neither for social exclusion nor for achievement stress (all ps &gt;.051). </w:t>
      </w:r>
    </w:p>
    <w:p w14:paraId="41C72A19" w14:textId="77777777" w:rsidR="00B944B2" w:rsidRPr="00C14DB6" w:rsidRDefault="00B944B2" w:rsidP="00C14DB6">
      <w:pPr>
        <w:pStyle w:val="MDPI35textbeforelist"/>
        <w:ind w:left="0"/>
      </w:pPr>
    </w:p>
    <w:p w14:paraId="10A6D30F" w14:textId="77777777" w:rsidR="00B944B2" w:rsidRPr="00C14DB6" w:rsidRDefault="00B944B2" w:rsidP="00C14DB6">
      <w:pPr>
        <w:pStyle w:val="MDPI52figure"/>
        <w:jc w:val="left"/>
      </w:pPr>
      <w:r w:rsidRPr="00C14DB6">
        <w:rPr>
          <w:noProof/>
          <w:snapToGrid/>
        </w:rPr>
        <w:drawing>
          <wp:inline distT="0" distB="0" distL="0" distR="0" wp14:anchorId="5FB44A4B" wp14:editId="229300A8">
            <wp:extent cx="4782185" cy="1715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2185" cy="1715770"/>
                    </a:xfrm>
                    <a:prstGeom prst="rect">
                      <a:avLst/>
                    </a:prstGeom>
                    <a:noFill/>
                    <a:ln>
                      <a:noFill/>
                    </a:ln>
                  </pic:spPr>
                </pic:pic>
              </a:graphicData>
            </a:graphic>
          </wp:inline>
        </w:drawing>
      </w:r>
    </w:p>
    <w:p w14:paraId="4FA93DA7" w14:textId="603782A4" w:rsidR="00B944B2" w:rsidRPr="00C14DB6" w:rsidRDefault="00A5616E" w:rsidP="00C14DB6">
      <w:pPr>
        <w:pStyle w:val="MDPI51figurecaption"/>
        <w:ind w:left="0"/>
        <w:jc w:val="both"/>
      </w:pPr>
      <w:r w:rsidRPr="00C14DB6">
        <w:rPr>
          <w:b/>
        </w:rPr>
        <w:t xml:space="preserve">Figure 5. </w:t>
      </w:r>
      <w:r w:rsidR="00B944B2" w:rsidRPr="00C14DB6">
        <w:t>(A) Association between change in rsFC of the amygdala and the mPFC and change in positive affect from pre- to post-achievement stress, and (B) association between change in rsFC of the amygdala and the vACC and change in anger from pre- to post-achievement stress. Change values from before to after social exclusion or achievement stress, respectively. Abbreviations: vACC = ventral anterior cingulate cortex, AMY = amygdala, mPFC = medial prefrontal cortex.</w:t>
      </w:r>
    </w:p>
    <w:p w14:paraId="2AAEFCEC" w14:textId="4710BE41" w:rsidR="00B944B2" w:rsidRPr="00C14DB6" w:rsidRDefault="00A5616E" w:rsidP="00C14DB6">
      <w:pPr>
        <w:pStyle w:val="MDPI23heading3"/>
        <w:spacing w:before="240"/>
        <w:ind w:left="0"/>
      </w:pPr>
      <w:r w:rsidRPr="00C14DB6">
        <w:t xml:space="preserve">3.5.3. </w:t>
      </w:r>
      <w:r w:rsidR="00B944B2" w:rsidRPr="00C14DB6">
        <w:t>Predictor: Change in negative affect from pre- to post-stress.</w:t>
      </w:r>
    </w:p>
    <w:p w14:paraId="1629A7A1" w14:textId="77777777" w:rsidR="00B944B2" w:rsidRPr="00C14DB6" w:rsidRDefault="00B944B2" w:rsidP="00C14DB6">
      <w:pPr>
        <w:pStyle w:val="MDPI31text"/>
        <w:ind w:left="0"/>
      </w:pPr>
      <w:r w:rsidRPr="00C14DB6">
        <w:t>For change in negative affect from pre- to post-stress, regression analyses were performed with the predictors: change in negative affect, sex and order of task presentation. Change in negative affect from pre- to post-stress did not predict changes in any rsFC neither for social exclusion nor for achievement stress (all ps&gt;.045, cut-off α=.025).</w:t>
      </w:r>
    </w:p>
    <w:p w14:paraId="57108050" w14:textId="211CEF13" w:rsidR="00B944B2" w:rsidRPr="00C14DB6" w:rsidRDefault="00A5616E" w:rsidP="00C14DB6">
      <w:pPr>
        <w:pStyle w:val="MDPI23heading3"/>
        <w:spacing w:before="240"/>
        <w:ind w:left="0"/>
      </w:pPr>
      <w:r w:rsidRPr="00C14DB6">
        <w:lastRenderedPageBreak/>
        <w:t xml:space="preserve">3.5.4. </w:t>
      </w:r>
      <w:r w:rsidR="00B944B2" w:rsidRPr="00C14DB6">
        <w:t>Predictor: Change in anger from pre- to post-stress.</w:t>
      </w:r>
    </w:p>
    <w:p w14:paraId="2F175913" w14:textId="77777777" w:rsidR="00B944B2" w:rsidRPr="00C14DB6" w:rsidRDefault="00B944B2" w:rsidP="00C14DB6">
      <w:pPr>
        <w:pStyle w:val="MDPI31text"/>
        <w:ind w:left="0"/>
      </w:pPr>
      <w:r w:rsidRPr="00C14DB6">
        <w:t>For change in anger from pre- to post-stress, regression analyses were performed with the predictors: change in anger, sex and order of task presentation.</w:t>
      </w:r>
    </w:p>
    <w:p w14:paraId="2DC109D7" w14:textId="77777777" w:rsidR="00B944B2" w:rsidRPr="00C14DB6" w:rsidRDefault="00B944B2" w:rsidP="00C14DB6">
      <w:pPr>
        <w:pStyle w:val="MDPI31text"/>
        <w:ind w:left="0"/>
      </w:pPr>
      <w:r w:rsidRPr="00C14DB6">
        <w:rPr>
          <w:i/>
        </w:rPr>
        <w:t>Left Amygdala–vACC, achievement stress</w:t>
      </w:r>
      <w:r w:rsidRPr="00C14DB6">
        <w:t>. The change in anger was negatively associated with changes in rsFC (model R</w:t>
      </w:r>
      <w:r w:rsidRPr="00C14DB6">
        <w:rPr>
          <w:vertAlign w:val="superscript"/>
        </w:rPr>
        <w:t>2</w:t>
      </w:r>
      <w:r w:rsidRPr="00C14DB6">
        <w:t xml:space="preserve">= 0.139; F(3,69)=3.699, p=.016), with increased anger, a decreased rsFC was seen for achievement stress across both sexes (β=-0.336, t=-3.005, p=.004), see Figure 5B. </w:t>
      </w:r>
    </w:p>
    <w:p w14:paraId="61A35213" w14:textId="77777777" w:rsidR="00B944B2" w:rsidRPr="00C14DB6" w:rsidRDefault="00B944B2" w:rsidP="00C14DB6">
      <w:pPr>
        <w:pStyle w:val="MDPI31text"/>
        <w:ind w:left="0"/>
      </w:pPr>
      <w:r w:rsidRPr="00C14DB6">
        <w:t>Change in anger from pre- to post-stress did not predict changes in any other rsFC neither for social exclusion nor for achievement stress (all ps&gt;.083).</w:t>
      </w:r>
    </w:p>
    <w:p w14:paraId="51907BFE" w14:textId="195FCAAB" w:rsidR="00B944B2" w:rsidRPr="00C14DB6" w:rsidRDefault="00A5616E" w:rsidP="00C14DB6">
      <w:pPr>
        <w:pStyle w:val="MDPI21heading1"/>
        <w:ind w:left="0"/>
      </w:pPr>
      <w:r w:rsidRPr="00C14DB6">
        <w:t xml:space="preserve">4. </w:t>
      </w:r>
      <w:r w:rsidR="00B944B2" w:rsidRPr="00C14DB6">
        <w:t>Discussion</w:t>
      </w:r>
    </w:p>
    <w:p w14:paraId="2EF197FD" w14:textId="77777777" w:rsidR="00B944B2" w:rsidRPr="00C14DB6" w:rsidRDefault="00B944B2" w:rsidP="00C14DB6">
      <w:pPr>
        <w:pStyle w:val="MDPI31text"/>
        <w:ind w:left="0"/>
      </w:pPr>
      <w:r w:rsidRPr="00C14DB6">
        <w:t xml:space="preserve">The aim of the current study was to investigate the effect of sex and stressor type on rsFC of the amygdala with frontal regions. This selection of regions was based on a recent neurocognitive framework on stress coping by de Raedt and Hooley </w:t>
      </w:r>
      <w:r w:rsidRPr="00C14DB6">
        <w:fldChar w:fldCharType="begin"/>
      </w:r>
      <w:r w:rsidRPr="00C14DB6">
        <w:instrText xml:space="preserve"> ADDIN ZOTERO_ITEM CSL_CITATION {"citationID":"ODBT369O","properties":{"formattedCitation":"[6]","plainCitation":"[6]","noteIndex":0},"citationItems":[{"id":522,"uris":["http://zotero.org/groups/4860232/items/SD9SHXA4"],"itemData":{"id":522,"type":"article-journal","abstract":"When confronted with stressful or emotionally arousing situations, regulatory abilities should allow us to adaptively cope. However, depressed individuals often have a low sense of perceived control and are characterized by a negative expectation bias regarding their ability to deal with future stressful events. Low expectancy concerning the ability to deal with future stressful events may result in less initiation of proactive control, a crucial mechanism of cognitive control reflecting sustained and anticipatory maintenance of goal-relevant information in the dorsolateral prefrontal cortex to optimize cognitive performance. In this theoretical review we integrate a diverse body of literature. We argue that the expectancy of an individual's regulatory abilities prior to the presentation of an arousing event or stressful task will be related to anticipation and proactive up- or downregulation of specific neurocircuits before the actual encounter with the stressful event occurs, in a manner that can be either adaptive or maladaptive. Moreover, we discuss the important role of self-esteem as well as the ability to accept the situation when coping is not possible. Our approach has implications for a broad range of disorders and conditions in which stress regulation plays a role, and can be used to guide the use of recently developed clinical interventions, as well as to fine-tune interventions to facilitate proactive control.","container-title":"Clinical Psychology Review","DOI":"10.1016/J.CPR.2016.03.005","ISSN":"0272-7358","note":"PMID: 27064551\npublisher: Pergamon","page":"45-55","title":"The role of expectancy and proactive control in stress regulation: A neurocognitive framework for regulation expectation","volume":"45","author":[{"family":"De Raedt","given":"Rudi"},{"family":"Hooley","given":"Jill M."}],"issued":{"date-parts":[["2016",4,1]]}}}],"schema":"https://github.com/citation-style-language/schema/raw/master/csl-citation.json"} </w:instrText>
      </w:r>
      <w:r w:rsidRPr="00C14DB6">
        <w:fldChar w:fldCharType="separate"/>
      </w:r>
      <w:r w:rsidRPr="00C14DB6">
        <w:t>[6]</w:t>
      </w:r>
      <w:r w:rsidRPr="00C14DB6">
        <w:fldChar w:fldCharType="end"/>
      </w:r>
      <w:r w:rsidRPr="00C14DB6">
        <w:t xml:space="preserve">. In the following we will discuss our results. </w:t>
      </w:r>
    </w:p>
    <w:p w14:paraId="0560A127" w14:textId="3D8E40F9" w:rsidR="00B944B2" w:rsidRPr="00C14DB6" w:rsidRDefault="00A5616E" w:rsidP="00C14DB6">
      <w:pPr>
        <w:pStyle w:val="MDPI22heading2"/>
        <w:spacing w:before="240"/>
        <w:ind w:left="0"/>
      </w:pPr>
      <w:r w:rsidRPr="00C14DB6">
        <w:t xml:space="preserve">4.1. </w:t>
      </w:r>
      <w:r w:rsidR="00B944B2" w:rsidRPr="00C14DB6">
        <w:t>Sex differences in stress reaction on amygdala-frontal stress networks</w:t>
      </w:r>
    </w:p>
    <w:p w14:paraId="6712F948" w14:textId="4E4A8B19" w:rsidR="00B944B2" w:rsidRPr="00C14DB6" w:rsidRDefault="00B944B2" w:rsidP="00C14DB6">
      <w:pPr>
        <w:pStyle w:val="MDPI31text"/>
        <w:ind w:left="0"/>
      </w:pPr>
      <w:r w:rsidRPr="00C14DB6">
        <w:t xml:space="preserve">We observed significant sex differences in the amygdala-frontal network, with higher amygdala-vACC and amygdala-mPFC rsFC for social exclusion in females that was not seen in males. Additionally, in females rsFC of the amygdala with the vACC was significantly higher for social exclusion than for achievement stress. Furthermore, in an exploratory multiple regression analysis, females showed an association between change in cortisol values from pre- to post-stress with the rsFC between the amygdala and the vACC. Hence, social exclusion seems to exhibit a sex-specific effect on the amygdala-frontal network. This fits nicely with previous reports that females have been shown to be more susceptible to social affiliation and exclusion </w:t>
      </w:r>
      <w:r w:rsidRPr="00C14DB6">
        <w:fldChar w:fldCharType="begin"/>
      </w:r>
      <w:r w:rsidR="000A0E40" w:rsidRPr="00C14DB6">
        <w:instrText xml:space="preserve"> ADDIN ZOTERO_ITEM CSL_CITATION {"citationID":"SvsrgxVU","properties":{"formattedCitation":"[16,47]","plainCitation":"[16,47]","noteIndex":0},"citationItems":[{"id":519,"uris":["http://zotero.org/groups/4860232/items/CGB2TLNJ"],"itemData":{"id":519,"type":"article-journal","abstract":"Background: Sex differences in stress responses may be one mechanism underlying gender differences in depression. We hypothesized that men and women would show different adrenocortical responses to different stressors. In particular, we predicted that women would show greater responses to social rejection stressors, whereas men would demonstrate greater responses to achievement stressors. Methods: Following a rest session in which they habituated to the laboratory, 50 healthy volunteers (24 men and 26 women, mean age 19.1, SD = 1.13) were randomly assigned to achievement or rejection stress conditions. The achievement condition involved a mathematical and a verbal challenge; the rejection condition involved two social interaction challenges. Self-reported affect and salivary cortisol were measured throughout each stress session (baseline, stress, and poststress periods). Results: There were no sex differences in mood ratings following the stressors; however, cortisol responses showed the predicted gender by condition by time interaction. Men showed significantly greater cortisol responses to the achievement challenges, but women showed greater cortisol responses to the social rejection challenges. Conclusions: Women appear more physiologically reactive to social rejection challenges, but men react more to achievement challenges. Women's greater reactivity to rejection stress may contribute to the increased rates of affective disorders in women. © 2002 Society of Biological Psychiatry.","container-title":"Biological psychiatry","DOI":"10.1016/S0006-3223(02)01333-1","ISSN":"0006-3223","issue":"4","note":"PMID: 12208639\npublisher: Biol Psychiatry","page":"318-327","title":"Sex differences in stress responses: social rejection versus achievement stress","volume":"52","author":[{"family":"Stroud","given":"Laura R."},{"family":"Salovey","given":"Peter"},{"family":"Epel","given":"Elissa S."}],"issued":{"date-parts":[["2002",8,15]]}}},{"id":132,"uris":["http://zotero.org/users/10615573/items/TIJUKYQ5"],"itemData":{"id":132,"type":"article-journal","abstract":"Theory and research on sex differences in adjustment focus largely on parental, societal, and biological influences. However, it also is important to consider how peers contribute to girls' and boys' development. This article provides a critical review of sex differences in several peer relationship processes, including behavioral and social-cognitive styles, stress and coping, and relationship provisions. The authors present a speculative peer-socialization model based on this review in which the implications of these sex differences for girls' and boys' emotional and behavioral development are considered. Central to this model is the idea that sex-linked relationship processes have costs and benefits for girls' and boys' adjustment. Finally, the authors present recent research testing certain model components and propose approaches for testing understudied aspects of the model. Copyright 2006 by the American Psychological Association.","container-title":"Psychological bulletin","DOI":"10.1037/0033-2909.132.1.98","ISSN":"00332909","issue":"1","note":"PMID: 16435959\npublisher: NIH Public Access","page":"98","title":"A Review of Sex Differences in Peer Relationship Processes: Potential Trade-offs for the Emotional and Behavioral Development of Girls and Boys","volume":"132","author":[{"family":"Rose","given":"Amanda J."},{"family":"Rudolph","given":"Karen D."}],"issued":{"date-parts":[["2006",1]]}}}],"schema":"https://github.com/citation-style-language/schema/raw/master/csl-citation.json"} </w:instrText>
      </w:r>
      <w:r w:rsidRPr="00C14DB6">
        <w:fldChar w:fldCharType="separate"/>
      </w:r>
      <w:r w:rsidR="000A0E40" w:rsidRPr="00C14DB6">
        <w:t>[16,47]</w:t>
      </w:r>
      <w:r w:rsidRPr="00C14DB6">
        <w:fldChar w:fldCharType="end"/>
      </w:r>
      <w:r w:rsidRPr="00C14DB6">
        <w:t xml:space="preserve">. For the current results, besides directly experiencing social exclusion, females more than males might also be triggered by anticipatory effects of an upcoming social, interpersonal stress situation as participants were told that they will participate in a ball tossing game. In previous studies, increased amygdala-vACC connectivity has been found in trauma-exposed females at rest and during affective processing </w:t>
      </w:r>
      <w:r w:rsidRPr="00C14DB6">
        <w:fldChar w:fldCharType="begin"/>
      </w:r>
      <w:r w:rsidR="000A0E40" w:rsidRPr="00C14DB6">
        <w:instrText xml:space="preserve"> ADDIN ZOTERO_ITEM CSL_CITATION {"citationID":"i9sPBvoV","properties":{"formattedCitation":"[48]","plainCitation":"[48]","noteIndex":0},"citationItems":[{"id":464,"uris":["http://zotero.org/groups/4860232/items/V9KXZCI3"],"itemData":{"id":464,"type":"article-journal","abstract":"Background: Chronic hypervigilance, a state of sustained alertness and hyperarousal in the absence of threat, has been shown to predict poorer clinical outcomes post-trauma. An exaggerated and persistent amygdala alerting response to affective information has been proposed as a reactivity-based, and thus indirect, marker of hypervigilance. However, because chronic hypervigilance is a persistent rather than reactive state, it should be directly observable under resting-state conditions without the need for exposure to affectively charged stimuli. Objective: We tested resting amygdala connectivity and basal sympathetic and hypothalamic-pituitary-adrenal axis activity as direct neural and neuroendocrine markers of chronic hypervigilance. Participants: 24 trauma-exposed women (age M = 22.9, SD = 5.5) and 20 no-trauma controls (age M = 21.1, SD = 3.2). Measures: Amygdala connectivity was measured using functional magnetic resonance imaging at rest and during viewing of novel and familiar affective scenes. Elevated amygdala connectivity during the viewing of novel scenes (exaggerated alerting response) and familiar scenes (persistent alerting response) was used as a reactivity-based index of hypervigilance. Resting amygdala connectivity and basal salivary alpha-amylase (sAA) and cortisol were tested as neural and neuroendocrine markers of hypervigilance, respectively. Results: Compared to no-trauma controls, trauma-exposed women showed greater connectivity between the left amygdala and the ventral anterior cingulate cortex (vACC) both during affective processing and at rest. Exaggerated neural novelty response was associated with greater resting left amygdala-vACC connectivity and higher basal sAA, but not cortisol. Conclusions: Greater synchronization of threat-detection circuitry in the absence of threat and basal sympathetic tone might serve as complementary resting-state markers of the cognitive and physiological components of chronic hypervigilance, respectively.","container-title":"Psychoneuroendocrinology","DOI":"10.1016/J.PSYNEUEN.2018.11.036","ISSN":"1873-3360","note":"PMID: 30529716\npublisher: Psychoneuroendocrinology","page":"68-78","title":"Resting amygdala connectivity and basal sympathetic tone as markers of chronic hypervigilance","volume":"102","author":[{"family":"Kleshchova","given":"Olena"},{"family":"Rieder","given":"Jenna K."},{"family":"Grinband","given":"Jack"},{"family":"Weierich","given":"Mariann R."}],"issued":{"date-parts":[["2019",4,1]]}}}],"schema":"https://github.com/citation-style-language/schema/raw/master/csl-citation.json"} </w:instrText>
      </w:r>
      <w:r w:rsidRPr="00C14DB6">
        <w:fldChar w:fldCharType="separate"/>
      </w:r>
      <w:r w:rsidR="000A0E40" w:rsidRPr="00C14DB6">
        <w:t>[48]</w:t>
      </w:r>
      <w:r w:rsidRPr="00C14DB6">
        <w:fldChar w:fldCharType="end"/>
      </w:r>
      <w:r w:rsidRPr="00C14DB6">
        <w:t xml:space="preserve">, during implicit processing of sad facial stimuli in healthy females and males </w:t>
      </w:r>
      <w:r w:rsidRPr="00C14DB6">
        <w:fldChar w:fldCharType="begin"/>
      </w:r>
      <w:r w:rsidR="000A0E40" w:rsidRPr="00C14DB6">
        <w:instrText xml:space="preserve"> ADDIN ZOTERO_ITEM CSL_CITATION {"citationID":"vrDHrIDS","properties":{"formattedCitation":"[49]","plainCitation":"[49]","noteIndex":0},"citationItems":[{"id":463,"uris":["http://zotero.org/groups/4860232/items/J3HI7YYC"],"itemData":{"id":463,"type":"article-journal","abstract":"Background: Polymorphisms in the serotonin transporter gene (5-HTTLPR) modulate amygdala activity in healthy individuals. Increased responses to negative stimuli in carriers of low transcription alleles have been proposed to contribute to the pathogenesis of depression. We sought to investigate the effects of genotype as well as diagnosis in patients with depression. Methods: Subjects with recurrent depression (n=67) and matched healthy controls (n=49) participated in a fMRI task of implicit processing of sad facial stimuli. Effects of biallelic (short (S) and long (L) alleles) and triallelic (including rs25531 A/G single nucleotide variation) models of 5-HTTLPR polymorphisms on amygdala activity and connectivity were investigated. Results: Significant effects were observed of both genotype and diagnosis on amygdala activity. Increased amygdala activity was associated with 5-HTTLPR genotype in low transcription allele carriers as well as with a diagnosis of depression. The connectivity analysis revealed a main effect of genotype with reduced connectivity to the subgenual region of the anterior cingulate in carriers of the low transcription alleles. There was also a main effect of diagnosis with reduced connectivity to the dorsal region of the anterior cingulate and to the dorsolateral prefrontal cortex in depression. There were no interaction effects between genotype and diagnosis in amygdala activity or connectivity. Conclusions: Significant independent effects of genotype and diagnosis on amygdala responsivity were revealed. The effects of genotype and diagnosis on amygdala connectivity showed a regional segregation, suggesting that 5-HTTLPR polymorphisms bias frontal-limbic connectivity while the development of depression involves more extensive neural disturbances. These findings point to the potential of connectivity maps as a diagnostic biomarker for depression. © 2013 Elsevier B.V.","container-title":"Journal of Affective Disorders","DOI":"10.1016/j.jad.2013.02.028","ISSN":"01650327","issue":"1","page":"96-103","title":"Modulation of amygdala response and connectivity in depression by serotonin transporter polymorphism and diagnosis","volume":"150","author":[{"family":"Costafreda","given":"Sergi G."},{"family":"McCann","given":"Peter"},{"family":"Saker","given":"Pascal"},{"family":"Cole","given":"James H."},{"family":"Cohen-Woods","given":"Sarah"},{"family":"Farmer","given":"Anne E."},{"family":"Aitchison","given":"Katherine J."},{"family":"McGuffin","given":"Peter"},{"family":"Fu","given":"Cynthia H.Y."}],"issued":{"date-parts":[["2013",8,15]]}}}],"schema":"https://github.com/citation-style-language/schema/raw/master/csl-citation.json"} </w:instrText>
      </w:r>
      <w:r w:rsidRPr="00C14DB6">
        <w:fldChar w:fldCharType="separate"/>
      </w:r>
      <w:r w:rsidR="000A0E40" w:rsidRPr="00C14DB6">
        <w:t>[49]</w:t>
      </w:r>
      <w:r w:rsidRPr="00C14DB6">
        <w:fldChar w:fldCharType="end"/>
      </w:r>
      <w:r w:rsidRPr="00C14DB6">
        <w:t xml:space="preserve">, and following a conflict task using emotional stimuli </w:t>
      </w:r>
      <w:r w:rsidRPr="00C14DB6">
        <w:fldChar w:fldCharType="begin"/>
      </w:r>
      <w:r w:rsidR="000A0E40" w:rsidRPr="00C14DB6">
        <w:instrText xml:space="preserve"> ADDIN ZOTERO_ITEM CSL_CITATION {"citationID":"VS7Oe8A3","properties":{"formattedCitation":"[50]","plainCitation":"[50]","noteIndex":0},"citationItems":[{"id":457,"uris":["http://zotero.org/groups/4860232/items/QDUUTEL4"],"itemData":{"id":457,"type":"article-journal","abstract":"It has been hypothesized that processing of conflict is facilitated by emotion. Emotional stimuli signal significance in a situation. Thus, when an emotional stimulus is task relevant, more resources may be devoted to conflict processing to reduce the time that an organism is unable to act. In the present electroencephalography and functional magnetic resonance imaging (fMRI) studies, we employed a conflict task and manipulated the emotional content and prosody of auditory target stimuli. In line with our hypothesis, reaction times revealed faster conflict resolution for emotional stimuli. Early stages of event-related potential conflict processing were modulated by emotion as indexed in an enhanced frontocentral negativity at 420 ms. FMRI yielded conflict activation in the dorsal anterior cingulate cortex (dACC), a crucial part of the executive control network. The right ventral ACC (vACC) was activated for conflict processing in emotional stimuli, suggesting that it is additionally activated for conflict processing in emotional stimuli. The amygdala was also activated by emotion. Furthermore, emotion increased functional connectivity between the vACC and activity in the amygdala and the dACC. The results support the hypothesis that emotion speeds up conflict processing and suggest a new role for the vACC in processing conflict in particularly significant situations signaled by emotion. © 2011 The Author. Published by Oxford University Press. All rights reserved.","container-title":"Cerebral Cortex","DOI":"10.1093/CERCOR/BHQ157","ISSN":"1047-3211","issue":"4","note":"PMID: 20732901\npublisher: Oxford Academic","page":"911-919","title":"Emotion Speeds up Conflict Resolution: A New Role for the Ventral Anterior Cingulate Cortex?","volume":"21","author":[{"family":"Kanske","given":"Philipp"},{"family":"Kotz","given":"Sonja A."}],"issued":{"date-parts":[["2011",4,1]]}}}],"schema":"https://github.com/citation-style-language/schema/raw/master/csl-citation.json"} </w:instrText>
      </w:r>
      <w:r w:rsidRPr="00C14DB6">
        <w:fldChar w:fldCharType="separate"/>
      </w:r>
      <w:r w:rsidR="000A0E40" w:rsidRPr="00C14DB6">
        <w:t>[50]</w:t>
      </w:r>
      <w:r w:rsidRPr="00C14DB6">
        <w:fldChar w:fldCharType="end"/>
      </w:r>
      <w:r w:rsidRPr="00C14DB6">
        <w:t xml:space="preserve">. This supports the assumption from the neurocognitive framework </w:t>
      </w:r>
      <w:r w:rsidRPr="00C14DB6">
        <w:fldChar w:fldCharType="begin"/>
      </w:r>
      <w:r w:rsidRPr="00C14DB6">
        <w:instrText xml:space="preserve"> ADDIN ZOTERO_ITEM CSL_CITATION {"citationID":"o51TwzYl","properties":{"formattedCitation":"[6]","plainCitation":"[6]","noteIndex":0},"citationItems":[{"id":522,"uris":["http://zotero.org/groups/4860232/items/SD9SHXA4"],"itemData":{"id":522,"type":"article-journal","abstract":"When confronted with stressful or emotionally arousing situations, regulatory abilities should allow us to adaptively cope. However, depressed individuals often have a low sense of perceived control and are characterized by a negative expectation bias regarding their ability to deal with future stressful events. Low expectancy concerning the ability to deal with future stressful events may result in less initiation of proactive control, a crucial mechanism of cognitive control reflecting sustained and anticipatory maintenance of goal-relevant information in the dorsolateral prefrontal cortex to optimize cognitive performance. In this theoretical review we integrate a diverse body of literature. We argue that the expectancy of an individual's regulatory abilities prior to the presentation of an arousing event or stressful task will be related to anticipation and proactive up- or downregulation of specific neurocircuits before the actual encounter with the stressful event occurs, in a manner that can be either adaptive or maladaptive. Moreover, we discuss the important role of self-esteem as well as the ability to accept the situation when coping is not possible. Our approach has implications for a broad range of disorders and conditions in which stress regulation plays a role, and can be used to guide the use of recently developed clinical interventions, as well as to fine-tune interventions to facilitate proactive control.","container-title":"Clinical Psychology Review","DOI":"10.1016/J.CPR.2016.03.005","ISSN":"0272-7358","note":"PMID: 27064551\npublisher: Pergamon","page":"45-55","title":"The role of expectancy and proactive control in stress regulation: A neurocognitive framework for regulation expectation","volume":"45","author":[{"family":"De Raedt","given":"Rudi"},{"family":"Hooley","given":"Jill M."}],"issued":{"date-parts":[["2016",4,1]]}}}],"schema":"https://github.com/citation-style-language/schema/raw/master/csl-citation.json"} </w:instrText>
      </w:r>
      <w:r w:rsidRPr="00C14DB6">
        <w:fldChar w:fldCharType="separate"/>
      </w:r>
      <w:r w:rsidRPr="00C14DB6">
        <w:t>[6]</w:t>
      </w:r>
      <w:r w:rsidRPr="00C14DB6">
        <w:fldChar w:fldCharType="end"/>
      </w:r>
      <w:r w:rsidRPr="00C14DB6">
        <w:t xml:space="preserve"> that activation of the ventromedial-frontal region, which is involved in stress </w:t>
      </w:r>
      <w:r w:rsidRPr="00C14DB6">
        <w:fldChar w:fldCharType="begin"/>
      </w:r>
      <w:r w:rsidRPr="00C14DB6">
        <w:instrText xml:space="preserve"> ADDIN ZOTERO_ITEM CSL_CITATION {"citationID":"HtlohCWo","properties":{"formattedCitation":"[9,10]","plainCitation":"[9,10]","noteIndex":0},"citationItems":[{"id":432,"uris":["http://zotero.org/groups/4860232/items/ZPTPMQBM"],"itemData":{"id":432,"type":"article-journal","abstract":"Early neuroimaging studies using Cyberball suggested that social rejection activated the pain matrix, as identified in studies of physical pain. However, these early studies were characterized by small sample sizes. Our statistical multi-level kernel density analysis (MKDA) of Cyberball neuroimaging studies with 244 participants fails to support the claim that social rejection operates on the same pain matrix as nociceptive stimuli, questioning whether social pain is more figurative or literal. We also performed an MKDA of the neuroimaging studies of reliving a romantic rejection to test whether the pain matrix was activated if the rejection were more meaningful. Results again failed to support the notion that rejection activates the neural matrix identified in studies of physical pain. Reliving an unwanted rejection by a romantic partner was significantly characterized by activation within and beyond the Cyberball brain network, suggesting that the neural correlates of social pain are more complex than previously thought.","container-title":"Scientific reports","DOI":"10.1038/SREP02027","ISSN":"2045-2322","note":"PMID: 24002359\npublisher: Sci Rep","title":"A quantitative meta-analysis of functional imaging studies of social rejection","URL":"https://pubmed.ncbi.nlm.nih.gov/24002359/","volume":"3","author":[{"family":"Cacioppo","given":"Stephanie"},{"family":"Frum","given":"Chris"},{"family":"Asp","given":"Erik"},{"family":"Weiss","given":"Robin M."},{"family":"Lewis","given":"James W."},{"family":"Cacioppo","given":"John T."}],"accessed":{"date-parts":[["2022",4,7]]},"issued":{"date-parts":[["2013"]]}}},{"id":483,"uris":["http://zotero.org/groups/4860232/items/WEUIMVAF"],"itemData":{"id":483,"type":"article-journal","abstract":"Whereas we know a fair amount on the role of the amygdala in the acute stress response, virtually nothing is known about its role during the recovery period after the stress has waned. Functional connectivity analysis of the amygdala during this period might be useful in revealing brain circuits promoting adaptive recovery from a stressful event, as well as consolidation of emotionally relevant information in preparing for future challenges.Healthy participants were randomly assigned to either a psychosocial stress task (n = 18; stress group) or a comparable non-stressful control procedure (n = 20; controls). To study the prolonged effects of stress on amygdala functional connectivity, resting-state fMRI scans were acquired an hour after the stress task. Amygdala functional connectivity with other brain regions was assessed using seed-based correlations.The stress group exhibited a strong physiological and behavioral reaction to psychosocial stress exposure. Compared with controls the stress group showed increased amygdala functional connectivity with three cortical midline structures: the posterior cingulate cortex and precuneus (p&lt;05, corrected), and the medial prefrontal cortex (p&lt;05, small volume corrected).An hour after psychosocial stress, changes in amygdala functional connectivity were detected with cortical midline structures involved in the processing and regulation of emotions, as well as autobiographical memory. It is hypothesized that these effects could relate to top-down control of the amygdala and consolidation of self-relevant information after a stressful event. These results on functional connectivity in the recovery phase after stress might provide an important new vantage point in studying both sensitivity and resilience to stress. © 2011 Elsevier Inc.","container-title":"NeuroImage","DOI":"10.1016/J.NEUROIMAGE.2011.05.074","ISSN":"10538119","issue":"4","note":"PMID: 21664280","page":"1534-1541","title":"Beyond acute social stress: Increased functional connectivity between amygdala and cortical midline structures","volume":"57","author":[{"family":"Veer","given":"Ilya M."},{"family":"Oei","given":"Nicole Y.L."},{"family":"Spinhoven","given":"Philip"},{"family":"Buchem","given":"Mark A.","non-dropping-particle":"van"},{"family":"Elzinga","given":"Bernet M."},{"family":"Rombouts","given":"Serge A.R.B."}],"issued":{"date-parts":[["2011",8,15]]}}}],"schema":"https://github.com/citation-style-language/schema/raw/master/csl-citation.json"} </w:instrText>
      </w:r>
      <w:r w:rsidRPr="00C14DB6">
        <w:fldChar w:fldCharType="separate"/>
      </w:r>
      <w:r w:rsidRPr="00C14DB6">
        <w:t>[9,10]</w:t>
      </w:r>
      <w:r w:rsidRPr="00C14DB6">
        <w:fldChar w:fldCharType="end"/>
      </w:r>
      <w:r w:rsidRPr="00C14DB6">
        <w:t xml:space="preserve"> and attentional emotional processing </w:t>
      </w:r>
      <w:r w:rsidRPr="00C14DB6">
        <w:fldChar w:fldCharType="begin"/>
      </w:r>
      <w:r w:rsidRPr="00C14DB6">
        <w:instrText xml:space="preserve"> ADDIN ZOTERO_ITEM CSL_CITATION {"citationID":"XswBJ9qw","properties":{"formattedCitation":"[11]","plainCitation":"[11]","noteIndex":0},"citationItems":[{"id":422,"uris":["http://zotero.org/groups/4860232/items/GRH83YKJ"],"itemData":{"id":422,"type":"article-journal","abstract":"Studies in the field of social neuroscience have recently made use of computational models of decision-making to provide new insights into how we learn about the self and others during social interactions. Importantly, these studies have increasingly drawn attention to brain areas outside of classical cortical “social brain” regions that may be critical for social processing. In particular, two portions of the ventral anterior cingulate cortex (vACC), subgenual anterior cingulate cortex and perigenual anterior cingulate cortex, have been linked to social and self learning signals, respectively. Here we discuss the emerging parallels between these studies. Uncovering the function of vACC during social interactions could provide important new avenues to understand social decision-making in health and disease.","container-title":"Neuroscience &amp; Biobehavioral Reviews","DOI":"10.1016/j.neubiorev.2018.05.030","ISSN":"01497634","note":"publisher: Pergamon","page":"187-191","title":"Ventral anterior cingulate cortex and social decision-making","volume":"92","author":[{"family":"Lockwood","given":"Patricia L."},{"family":"Wittmann","given":"Marco K."}],"issued":{"date-parts":[["2018",9,1]]}}}],"schema":"https://github.com/citation-style-language/schema/raw/master/csl-citation.json"} </w:instrText>
      </w:r>
      <w:r w:rsidRPr="00C14DB6">
        <w:fldChar w:fldCharType="separate"/>
      </w:r>
      <w:r w:rsidRPr="00C14DB6">
        <w:t>[11]</w:t>
      </w:r>
      <w:r w:rsidRPr="00C14DB6">
        <w:fldChar w:fldCharType="end"/>
      </w:r>
      <w:r w:rsidRPr="00C14DB6">
        <w:t xml:space="preserve"> upregulates amygdala activity, further resulting in a lower ability for stress coping. The vACC is further closely related to stress processing after social exclusion </w:t>
      </w:r>
      <w:r w:rsidRPr="00C14DB6">
        <w:fldChar w:fldCharType="begin"/>
      </w:r>
      <w:r w:rsidRPr="00C14DB6">
        <w:instrText xml:space="preserve"> ADDIN ZOTERO_ITEM CSL_CITATION {"citationID":"6yqh4p2S","properties":{"formattedCitation":"[9]","plainCitation":"[9]","noteIndex":0},"citationItems":[{"id":432,"uris":["http://zotero.org/groups/4860232/items/ZPTPMQBM"],"itemData":{"id":432,"type":"article-journal","abstract":"Early neuroimaging studies using Cyberball suggested that social rejection activated the pain matrix, as identified in studies of physical pain. However, these early studies were characterized by small sample sizes. Our statistical multi-level kernel density analysis (MKDA) of Cyberball neuroimaging studies with 244 participants fails to support the claim that social rejection operates on the same pain matrix as nociceptive stimuli, questioning whether social pain is more figurative or literal. We also performed an MKDA of the neuroimaging studies of reliving a romantic rejection to test whether the pain matrix was activated if the rejection were more meaningful. Results again failed to support the notion that rejection activates the neural matrix identified in studies of physical pain. Reliving an unwanted rejection by a romantic partner was significantly characterized by activation within and beyond the Cyberball brain network, suggesting that the neural correlates of social pain are more complex than previously thought.","container-title":"Scientific reports","DOI":"10.1038/SREP02027","ISSN":"2045-2322","note":"PMID: 24002359\npublisher: Sci Rep","title":"A quantitative meta-analysis of functional imaging studies of social rejection","URL":"https://pubmed.ncbi.nlm.nih.gov/24002359/","volume":"3","author":[{"family":"Cacioppo","given":"Stephanie"},{"family":"Frum","given":"Chris"},{"family":"Asp","given":"Erik"},{"family":"Weiss","given":"Robin M."},{"family":"Lewis","given":"James W."},{"family":"Cacioppo","given":"John T."}],"accessed":{"date-parts":[["2022",4,7]]},"issued":{"date-parts":[["2013"]]}}}],"schema":"https://github.com/citation-style-language/schema/raw/master/csl-citation.json"} </w:instrText>
      </w:r>
      <w:r w:rsidRPr="00C14DB6">
        <w:fldChar w:fldCharType="separate"/>
      </w:r>
      <w:r w:rsidRPr="00C14DB6">
        <w:t>[9]</w:t>
      </w:r>
      <w:r w:rsidRPr="00C14DB6">
        <w:fldChar w:fldCharType="end"/>
      </w:r>
      <w:r w:rsidRPr="00C14DB6">
        <w:t xml:space="preserve">, and social decision making. Importantly, the vACC coordinates used in the current study (based on </w:t>
      </w:r>
      <w:r w:rsidRPr="00C14DB6">
        <w:fldChar w:fldCharType="begin"/>
      </w:r>
      <w:r w:rsidRPr="00C14DB6">
        <w:instrText xml:space="preserve"> ADDIN ZOTERO_ITEM CSL_CITATION {"citationID":"MqsFDOXa","properties":{"formattedCitation":"[36]","plainCitation":"[36]","noteIndex":0},"citationItems":[{"id":41,"uris":["http://zotero.org/users/10615573/items/Y4WKBJX4"],"itemData":{"id":41,"type":"article-journal","abstract":"Social exclusion inherently involves an element of expectancy violation, in that we expect other people to follow the unwritten rule to include us in social interactions. In this functional magnetic resonance imaging (fMRI) study, we employed a unique modification of an interactive virtual ball-tossing game called \"Cyberball\" (Williams et al., 2000) and a novel paradigm called \"Cybershape,\" in which rules are broken in the absence of social exclusion, to dissociate brain regions that process social exclusion from rule violations more generally. Our Cyberball game employed an alternating block design and removed evoked responses to events when the participant was throwing the ball in inclusion to make this condition comparable to exclusion, where participants did not throw. With these modifications, we replicated prior findings of ventral anterior cingulate cortex (vACC), insula, and posterior cingulate cortex activity evoked by social exclusion relative to inclusion. We also identified exclusion-evoked activity in the hippocampi, left ventrolateral prefrontal cortex, and left middle temporal gyrus. Comparing social exclusion and rule violation revealed a functional dissociation in the active neural systems as well as differential functional connectivity with vACC. Some overlap was observed in regions differentially modulated by social exclusion and rule violation, including the vACC and lateral parietal cortex. These overlapping brain regions showed different activation during social exclusion compared to rule violation, each relative to fair play. Comparing activation patterns to social exclusion and rule violation allowed for the dissociation of brain regions involved in the experience of exclusion versus expectancy violation. © 2010 Elsevier Inc.","container-title":"NeuroImage","DOI":"10.1016/J.NEUROIMAGE.2010.10.049","ISSN":"1095-9572","issue":"3","note":"PMID: 20974272\npublisher: Neuroimage","page":"2462-2471","title":"Dissociable brain mechanisms for processing social exclusion and rule violation","volume":"54","author":[{"family":"Bolling","given":"Danielle Z."},{"family":"Pitskel","given":"Naomi B."},{"family":"Deen","given":"Ben"},{"family":"Crowley","given":"Michael J."},{"family":"McPartland","given":"James C."},{"family":"Mayes","given":"Linda C."},{"family":"Pelphrey","given":"Kevin A."}],"issued":{"date-parts":[["2011",2,1]]}}}],"schema":"https://github.com/citation-style-language/schema/raw/master/csl-citation.json"} </w:instrText>
      </w:r>
      <w:r w:rsidRPr="00C14DB6">
        <w:fldChar w:fldCharType="separate"/>
      </w:r>
      <w:r w:rsidRPr="00C14DB6">
        <w:t>[36]</w:t>
      </w:r>
      <w:r w:rsidRPr="00C14DB6">
        <w:fldChar w:fldCharType="end"/>
      </w:r>
      <w:r w:rsidRPr="00C14DB6">
        <w:t xml:space="preserve">) are more specifically located in a part of the vACC also known as subgenual ACC (sgACC) </w:t>
      </w:r>
      <w:r w:rsidRPr="00C14DB6">
        <w:fldChar w:fldCharType="begin"/>
      </w:r>
      <w:r w:rsidR="000A0E40" w:rsidRPr="00C14DB6">
        <w:instrText xml:space="preserve"> ADDIN ZOTERO_ITEM CSL_CITATION {"citationID":"fb53Ew0R","properties":{"formattedCitation":"[51]","plainCitation":"[51]","noteIndex":0},"citationItems":[{"id":771,"uris":["http://zotero.org/groups/4860232/items/9PKMP5VS"],"itemData":{"id":771,"type":"article-journal","container-title":"The Journal of Neuropsychiatry and Clinical Neurosciences","DOI":"10.1176/jnp.23.2.jnp121","ISSN":"0895-0172","issue":"2","journalAbbreviation":"JNP","note":"publisher: American Psychiatric Publishing","page":"121-125","source":"neuro.psychiatryonline.org (Atypon)","title":"Anterior Cingulate Cortex: Unique Role in Cognition and Emotion","title-short":"Anterior Cingulate Cortex","volume":"23","author":[{"family":"Stevens","given":"Francis L."},{"family":"Hurley","given":"Robin A."},{"family":"Taber","given":"Katherine H."},{"family":"Hurley","given":"Robin A."},{"family":"Hayman","given":"L. Anne"},{"family":"Taber","given":"Katherine H."}],"issued":{"date-parts":[["2011",4]]}}}],"schema":"https://github.com/citation-style-language/schema/raw/master/csl-citation.json"} </w:instrText>
      </w:r>
      <w:r w:rsidRPr="00C14DB6">
        <w:fldChar w:fldCharType="separate"/>
      </w:r>
      <w:r w:rsidR="000A0E40" w:rsidRPr="00C14DB6">
        <w:t>[51]</w:t>
      </w:r>
      <w:r w:rsidRPr="00C14DB6">
        <w:fldChar w:fldCharType="end"/>
      </w:r>
      <w:r w:rsidRPr="00C14DB6">
        <w:t xml:space="preserve">. In previous studies, sgACC was often associated with mood disorders such as depression, showing a reduced gray matter volume and higher activation of sgACC in depressed compared to healthy participants </w:t>
      </w:r>
      <w:r w:rsidRPr="00C14DB6">
        <w:fldChar w:fldCharType="begin"/>
      </w:r>
      <w:r w:rsidR="000A0E40" w:rsidRPr="00C14DB6">
        <w:instrText xml:space="preserve"> ADDIN ZOTERO_ITEM CSL_CITATION {"citationID":"0f8XOMws","properties":{"formattedCitation":"[52]","plainCitation":"[52]","noteIndex":0},"citationItems":[{"id":801,"uris":["http://zotero.org/groups/4860232/items/66KE8TW4"],"itemData":{"id":801,"type":"article-journal","abstract":"The anterior cingulate cortex (ACC) ventral to the genu of the corpus callosum has been implicated in the modulation of emotional behavior on the basis of neuroimaging studies in humans and lesion analyses in experimental animals. In a combined positron emission tomography/magnetic resonance imaging study of mood disorders, we demonstrated that the mean gray matter volume of this \"subgenual\" ACC (sgACC) cortex is abnormally reduced in subjects with major depressive disorder (MDD) and bipolar disorder, irrespective of mood state. Neuropathological assessments of sgACC tissue acquired postmortem from subjects with MDD or bipolar disorder confirmed the decrement in gray matter volume, and revealed that this abnormality was associated with a reduction in glia, with no equivalent loss of neurons. In positron emission tomography studies, the metabolic activity was elevated in this region in the depressed relative to the remitted phases of the same MDD subjects, and effective antidepressant treatment was associated with a reduction in sgACC activity. Other laboratories replicated and extended these findings, and the clinical importance of this treatment effect was underscored by a study showing that deep brain stimulation of the sgACC ameliorates depressive symptoms in treatment-resistant MDD. This article discusses the functional significance of these findings within the context of the preclinical literature that implicates the putative homologue of this region in the regulation of emotional behavior and stress response. In experimental animals, this region participates in an extended \"visceromotor network\" of structures that modulates autonomic/neuroendocrine responses and neurotransmitter transmission during the neural processing of reward, fear, and stress. These data thus hold important implications for the development of neural models of depression that can account for the abnormal motivational, neuroendocrine, autonomic, and emotional manifestations evident in human mood disorders.","container-title":"CNS spectrums","DOI":"10.1017/s1092852900013754","ISSN":"1092-8529","issue":"8","journalAbbreviation":"CNS Spectr","language":"eng","note":"PMID: 18704022\nPMCID: PMC2729429","page":"663-681","source":"PubMed","title":"The subgenual anterior cingulate cortex in mood disorders","volume":"13","author":[{"family":"Drevets","given":"Wayne C."},{"family":"Savitz","given":"Jonathan"},{"family":"Trimble","given":"Michael"}],"issued":{"date-parts":[["2008",8]]}}}],"schema":"https://github.com/citation-style-language/schema/raw/master/csl-citation.json"} </w:instrText>
      </w:r>
      <w:r w:rsidRPr="00C14DB6">
        <w:fldChar w:fldCharType="separate"/>
      </w:r>
      <w:r w:rsidR="000A0E40" w:rsidRPr="00C14DB6">
        <w:t>[52]</w:t>
      </w:r>
      <w:r w:rsidRPr="00C14DB6">
        <w:fldChar w:fldCharType="end"/>
      </w:r>
      <w:r w:rsidRPr="00C14DB6">
        <w:t xml:space="preserve">, and with processing of sadness </w:t>
      </w:r>
      <w:r w:rsidRPr="00C14DB6">
        <w:fldChar w:fldCharType="begin"/>
      </w:r>
      <w:r w:rsidR="000A0E40" w:rsidRPr="00C14DB6">
        <w:instrText xml:space="preserve"> ADDIN ZOTERO_ITEM CSL_CITATION {"citationID":"THoaClHH","properties":{"formattedCitation":"[53,54]","plainCitation":"[53,54]","noteIndex":0},"citationItems":[{"id":798,"uris":["http://zotero.org/groups/4860232/items/Z6PNEPHT"],"itemData":{"id":798,"type":"article-journal","abstract":"Variations in frontal lobe (FL) functional anatomy, especially the subgenual cingulate gyrus (SGC) suggest that mapping on an individual rather than group level may give greater insight regarding dysregulation of the neural circuitry involved in depression, as well as potentially provide more specific or individualized treatment plans for depressed patients. We designed a functional MRI task capable of imaging FL activity in individuals, including the SGC region, using a transient sadness paradigm. We sought to develop a method that may better detect individual differences of FL subregions related to sadness, since this region has been implicated to show dysregulation in depression. The task was based on a block design that also accommodates individual differences in responsivity to a sadness induction paradigm. Individual differences from nine non-depressed healthy volunteers were analyzed. We also performed functional connectivity analyses to further characterize our findings to the networks associated with the SGC in each individual. The study was designed to account for individual variation rather than using a true experimental design; therefore, no control group was necessary. As expected, due to inter-individual variability, the specific site of SGC activation during sadness varied across individuals. Activation was also observed in other brain regions consistent with other studies of induced sadness and depression. Patterns of functional connectivity to the SGC also highlighted neural circuits known to subserve sadness and depression. This task promises to more precisely localize a given individual's functional organization of the brain circuitry underlying sadness, and potentially depression, in an efficient, standardized way. This task could potentially aid in providing individualized targets in the treatment of depression.","container-title":"Brain Imaging and Behavior","DOI":"10.1007/s11682-011-9127-2","ISSN":"1931-7565","issue":"3","journalAbbreviation":"Brain Imaging Behav","language":"eng","note":"PMID: 21720734","page":"229-239","source":"PubMed","title":"Localizing sadness activation within the subgenual cingulate in individuals: a novel functional MRI paradigm for detecting individual differences in the neural circuitry underlying depression","title-short":"Localizing sadness activation within the subgenual cingulate in individuals","volume":"5","author":[{"family":"Smith","given":"Ryan"},{"family":"Fadok","given":"Richard A."},{"family":"Purcell","given":"Michael"},{"family":"Liu","given":"Seban"},{"family":"Stonnington","given":"Cynthia"},{"family":"Spetzler","given":"Robert F."},{"family":"Baxter","given":"Leslie C."}],"issued":{"date-parts":[["2011",9]]}}},{"id":799,"uris":["http://zotero.org/groups/4860232/items/95JYNPG8"],"itemData":{"id":799,"type":"article-journal","abstract":"BACKGROUND: Affective disorders are associated with comorbidity of depression and anxiety symptoms. Positron emission tomography resting-state studies in affective disorders have generally failed to isolate specific symptom effects. Emotion provocation studies in healthy volunteers have produced variable results, due to differences in experimental paradigm and instructions.\nMETHODS: To better delineate the neural correlates of sad mood and anxiety, this study used autobiographical memory scripts in eight healthy women to generate sadness, anxiety, or a neutral relaxed state in a within-subject design.\nRESULTS: Sadness and anxiety, when contrasted to a neutral emotional state, engaged a set of distinct paralimbic-cortical regions, with a limited number of common effects. Sadness was accompanied by specific activations of the subgenual cingulate area (BA) 25 and dorsal insula, specific deactivation of the right prefrontal cortex BA 9, and more prominent deactivation of the posterior parietal cortex BAs 40/7. Anxiety was associated with specific activations of the ventral insula, the orbitofrontal and anterior temporal cortices, specific deactivation of parahippocampal gyri, and more prominent deactivation of the inferior temporal cortex BAs 20/37.\nCONCLUSIONS: These findings are interpreted within a model in which sadness and anxiety are represented by segregated corticolimbic pathways, where a major role is played by selective dorsal cortical deactivations during sadness, and ventral cortical deactivations in anxiety.","container-title":"Biological Psychiatry","DOI":"10.1016/s0006-3223(00)00874-x","ISSN":"0006-3223","issue":"1","journalAbbreviation":"Biol Psychiatry","language":"eng","note":"PMID: 10913505","page":"30-42","source":"PubMed","title":"Differential limbic--cortical correlates of sadness and anxiety in healthy subjects: implications for affective disorders","title-short":"Differential limbic--cortical correlates of sadness and anxiety in healthy subjects","volume":"48","author":[{"family":"Liotti","given":"M."},{"family":"Mayberg","given":"H. S."},{"family":"Brannan","given":"S. K."},{"family":"McGinnis","given":"S."},{"family":"Jerabek","given":"P."},{"family":"Fox","given":"P. T."}],"issued":{"date-parts":[["2000",7,1]]}}}],"schema":"https://github.com/citation-style-language/schema/raw/master/csl-citation.json"} </w:instrText>
      </w:r>
      <w:r w:rsidRPr="00C14DB6">
        <w:fldChar w:fldCharType="separate"/>
      </w:r>
      <w:r w:rsidR="000A0E40" w:rsidRPr="00C14DB6">
        <w:t>[53,54]</w:t>
      </w:r>
      <w:r w:rsidRPr="00C14DB6">
        <w:fldChar w:fldCharType="end"/>
      </w:r>
      <w:r w:rsidRPr="00C14DB6">
        <w:t xml:space="preserve">. Heightened amygdala-vACC rsFC in social exclusion compared to achievement stress in females is in line with the aforementioned higher susceptibility of females to social exclusion and suggests more affective processing in socially stressful situations than in achievement-related stress in females. In our exploratory multiple regression analyses we additionally saw a positive association between change in cortisol and change in amygdala-vACC rsFC in females for social exclusion, which was reported previously in a mixed sample for psychosocial stress (thus, achievement stress including a social component) </w:t>
      </w:r>
      <w:r w:rsidRPr="00C14DB6">
        <w:fldChar w:fldCharType="begin"/>
      </w:r>
      <w:r w:rsidRPr="00C14DB6">
        <w:instrText xml:space="preserve"> ADDIN ZOTERO_ITEM CSL_CITATION {"citationID":"hTQ8DTfS","properties":{"formattedCitation":"[13]","plainCitation":"[13]","noteIndex":0},"citationItems":[{"id":495,"uris":["http://zotero.org/groups/4860232/items/3FF6I5XL"],"itemData":{"id":495,"type":"article-journal","abstract":"Stress-induced changes in functional brain connectivity have been linked to the etiology of stress-related disorders. Resting state functional connectivity (rsFC) is especially informative in characterizing the temporal trajectory of glucocorticoids during stress adaptation. Using the imaging Maastricht Acute Stress Test (iMAST), we induced acute stress in 39 healthy volunteers and monitored the neuroendocrine stress levels during three runs of resting state functional magnetic resonance imaging (rs-fMRI): before (run 1), immediately following (run 2), and 30min after acute stress (run 3). The iMAST resulted in strong increases in cortisol levels. Whole-brain analysis revealed that acute stress (run 2 - 1) was characterized by changes in connectivity of the amygdala with the ventrolateral prefrontal cortex (vlPFC), ventral posterior cingulate cortex (PCC), cuneus, parahippocampal gyrus, and culmen. Additionally, cortisol responders were characterized by enhanced amygdala - medial prefrontal cortex (mPFC) connectivity. Stress recovery (run 3 - 2) was characterized by altered amygdala connectivity with the dorsolateral prefrontal cortex (dlPFC), ventral and dorsal anterior cingulate cortex (ACC), anterior hippocampal complex, cuneus, and presupplementary motor area (preSMA). Opposite to non-responders, cortisol responders were characterized by enhanced amygdala connectivity with the anterior hippocampal complex and parahippocampal gyrus, and reduced connectivity with left dlPFC, dACC, and culmen during early recovery. Acute stress responding and recovery are thus associated with changes in the functional connectivity of the amygdala network. Our findings show that these changes may be regulated via stress-induced neuroendocrine levels. Defining stress-induced neuronal network changes is pertinent to developing treatments that target abnormal neuronal activity.","container-title":"PloS one","DOI":"10.1371/JOURNAL.PONE.0124141","ISSN":"1932-6203","issue":"5","note":"PMID: 25946334\npublisher: PLoS One","title":"Temporal dynamics of stress-induced alternations of intrinsic amygdala connectivity and neuroendocrine levels","URL":"https://pubmed.ncbi.nlm.nih.gov/25946334/","volume":"10","author":[{"family":"Quaedflieg","given":"C. W.E.M."},{"family":"Van De Ven","given":"V."},{"family":"Meyer","given":"T."},{"family":"Siep","given":"N."},{"family":"Merckelbach","given":"H."},{"family":"Smeets","given":"T."}],"accessed":{"date-parts":[["2022",2,17]]},"issued":{"date-parts":[["2015",5,6]]}}}],"schema":"https://github.com/citation-style-language/schema/raw/master/csl-citation.json"} </w:instrText>
      </w:r>
      <w:r w:rsidRPr="00C14DB6">
        <w:fldChar w:fldCharType="separate"/>
      </w:r>
      <w:r w:rsidRPr="00C14DB6">
        <w:t>[13]</w:t>
      </w:r>
      <w:r w:rsidRPr="00C14DB6">
        <w:fldChar w:fldCharType="end"/>
      </w:r>
      <w:r w:rsidRPr="00C14DB6">
        <w:t>.</w:t>
      </w:r>
    </w:p>
    <w:p w14:paraId="5DF22E20" w14:textId="77777777" w:rsidR="00B944B2" w:rsidRPr="00C14DB6" w:rsidRDefault="00B944B2" w:rsidP="00C14DB6">
      <w:pPr>
        <w:pStyle w:val="MDPI31text"/>
        <w:ind w:left="0"/>
      </w:pPr>
      <w:r w:rsidRPr="00C14DB6">
        <w:t>Taken together with previous literature, the current results show that rsFC between the amygdala and the vACC is elevated in stressful situations, when females are exposed to emotionally or socially stressful contexts, such as social exclusion, and they therewith must engage in emotion processing.</w:t>
      </w:r>
      <w:bookmarkStart w:id="7" w:name="_Hlk121744490"/>
      <w:r w:rsidRPr="00C14DB6">
        <w:t xml:space="preserve"> As females are more susceptible to social affiliation and social exclusion, social stress might be particularly salient for them. </w:t>
      </w:r>
      <w:bookmarkStart w:id="8" w:name="_Hlk121743877"/>
      <w:bookmarkEnd w:id="7"/>
      <w:r w:rsidRPr="00C14DB6">
        <w:t>Thus, our findings corroborate the assumption that females are engaging more coping mechanisms and are more affected by socially stressful situations than males, and they are also more triggered in socially stressful situations than in achievement situations.</w:t>
      </w:r>
      <w:bookmarkEnd w:id="8"/>
    </w:p>
    <w:p w14:paraId="2EE05BD7" w14:textId="043CB4E7" w:rsidR="00B944B2" w:rsidRPr="00C14DB6" w:rsidRDefault="00B944B2" w:rsidP="00C14DB6">
      <w:pPr>
        <w:pStyle w:val="MDPI31text"/>
        <w:ind w:left="0"/>
      </w:pPr>
      <w:r w:rsidRPr="00C14DB6">
        <w:t xml:space="preserve">Moreover, in the current results we saw a higher coupling between the amygdala and the mPFC for social exclusion in females compared to males. Increased amygdala–mPFC rsFC was previously observed in a male-only sample after psychosocial stress (achievement stress also including a social component) </w:t>
      </w:r>
      <w:r w:rsidRPr="00C14DB6">
        <w:fldChar w:fldCharType="begin"/>
      </w:r>
      <w:r w:rsidRPr="00C14DB6">
        <w:instrText xml:space="preserve"> ADDIN ZOTERO_ITEM CSL_CITATION {"citationID":"mofx0Cis","properties":{"formattedCitation":"[10]","plainCitation":"[10]","noteIndex":0},"citationItems":[{"id":483,"uris":["http://zotero.org/groups/4860232/items/WEUIMVAF"],"itemData":{"id":483,"type":"article-journal","abstract":"Whereas we know a fair amount on the role of the amygdala in the acute stress response, virtually nothing is known about its role during the recovery period after the stress has waned. Functional connectivity analysis of the amygdala during this period might be useful in revealing brain circuits promoting adaptive recovery from a stressful event, as well as consolidation of emotionally relevant information in preparing for future challenges.Healthy participants were randomly assigned to either a psychosocial stress task (n = 18; stress group) or a comparable non-stressful control procedure (n = 20; controls). To study the prolonged effects of stress on amygdala functional connectivity, resting-state fMRI scans were acquired an hour after the stress task. Amygdala functional connectivity with other brain regions was assessed using seed-based correlations.The stress group exhibited a strong physiological and behavioral reaction to psychosocial stress exposure. Compared with controls the stress group showed increased amygdala functional connectivity with three cortical midline structures: the posterior cingulate cortex and precuneus (p&lt;05, corrected), and the medial prefrontal cortex (p&lt;05, small volume corrected).An hour after psychosocial stress, changes in amygdala functional connectivity were detected with cortical midline structures involved in the processing and regulation of emotions, as well as autobiographical memory. It is hypothesized that these effects could relate to top-down control of the amygdala and consolidation of self-relevant information after a stressful event. These results on functional connectivity in the recovery phase after stress might provide an important new vantage point in studying both sensitivity and resilience to stress. © 2011 Elsevier Inc.","container-title":"NeuroImage","DOI":"10.1016/J.NEUROIMAGE.2011.05.074","ISSN":"10538119","issue":"4","note":"PMID: 21664280","page":"1534-1541","title":"Beyond acute social stress: Increased functional connectivity between amygdala and cortical midline structures","volume":"57","author":[{"family":"Veer","given":"Ilya M."},{"family":"Oei","given":"Nicole Y.L."},{"family":"Spinhoven","given":"Philip"},{"family":"Buchem","given":"Mark A.","non-dropping-particle":"van"},{"family":"Elzinga","given":"Bernet M."},{"family":"Rombouts","given":"Serge A.R.B."}],"issued":{"date-parts":[["2011",8,15]]}}}],"schema":"https://github.com/citation-style-language/schema/raw/master/csl-citation.json"} </w:instrText>
      </w:r>
      <w:r w:rsidRPr="00C14DB6">
        <w:fldChar w:fldCharType="separate"/>
      </w:r>
      <w:r w:rsidRPr="00C14DB6">
        <w:t>[10]</w:t>
      </w:r>
      <w:r w:rsidRPr="00C14DB6">
        <w:fldChar w:fldCharType="end"/>
      </w:r>
      <w:r w:rsidRPr="00C14DB6">
        <w:t xml:space="preserve">, in reward learning during wins compared to losses in both sexes </w:t>
      </w:r>
      <w:r w:rsidR="0059031B" w:rsidRPr="00C14DB6">
        <w:fldChar w:fldCharType="begin"/>
      </w:r>
      <w:r w:rsidR="0059031B" w:rsidRPr="00C14DB6">
        <w:instrText xml:space="preserve"> ADDIN ZOTERO_TEMP </w:instrText>
      </w:r>
      <w:r w:rsidR="0059031B" w:rsidRPr="00C14DB6">
        <w:fldChar w:fldCharType="end"/>
      </w:r>
      <w:r w:rsidRPr="00C14DB6">
        <w:fldChar w:fldCharType="begin"/>
      </w:r>
      <w:r w:rsidRPr="00C14DB6">
        <w:instrText xml:space="preserve"> ADDIN ZOTERO_ITEM CSL_CITATION {"citationID":"9sVOdrKW","properties":{"formattedCitation":"[12]","plainCitation":"[12]","noteIndex":0},"citationItems":[{"id":460,"uris":["http://zotero.org/groups/4860232/items/Q56FKAKU"],"itemData":{"id":460,"type":"article-journal","abstract":"Flexibly adapting behavior in dynamic environments relies on fronto-limbic networks that include the amygdala, orbitofrontal cortex, and striatum. Animal work demonstrates that interactions among these regions are critical for flexible feedback-guided learning, but it remains unknown to what extent such anatomical-functional interactions operate in humans. Here, we use connectivity analyses in both structural and functional MRI to further our understanding of how brain circuits work in conjunction to promote goal-directed behavior. In particular, fiber tracking based on diffusion-weighted imaging provides information about anatomical connectivity between brain structures, and functional MRI provides estimates of functional connectivity between structures. We found that, during a feedback-guided reversal learning task, the strength of estimated white matter tracts from the amygdala to the hippocampus, orbitofrontal cortex, and ventral striatum predicted both how subjects adapted their behavior following positive and negative feedback, and the functional connectivity (estimated from functional MRI time series) between the amygdala and these regions. In addition, we identified a dissociation between an amygdala-hippocampus circuit that predicted response switching, and an amygdala-orbitofrontal cortex circuit that predicted learning following rule reversals. These findings provide novel insights into how the anatomy and functioning of amygdala-related brain circuits mediate different aspects of feedback-guided learning behavior. © 2007 Elsevier Inc. All rights reserved.","container-title":"NeuroImage","DOI":"10.1016/J.NEUROIMAGE.2007.10.004","ISSN":"1053-8119","issue":"3","note":"PMID: 17997112\npublisher: Academic Press","page":"1396-1407","title":"Amygdala tractography predicts functional connectivity and learning during feedback-guided decision-making","volume":"39","author":[{"family":"Cohen","given":"Michael X."},{"family":"Elger","given":"Christian E."},{"family":"Weber","given":"Bernd"}],"issued":{"date-parts":[["2008",2,1]]}}}],"schema":"https://github.com/citation-style-language/schema/raw/master/csl-citation.json"} </w:instrText>
      </w:r>
      <w:r w:rsidRPr="00C14DB6">
        <w:fldChar w:fldCharType="separate"/>
      </w:r>
      <w:r w:rsidRPr="00C14DB6">
        <w:t>[12]</w:t>
      </w:r>
      <w:r w:rsidRPr="00C14DB6">
        <w:fldChar w:fldCharType="end"/>
      </w:r>
      <w:r w:rsidRPr="00C14DB6">
        <w:t xml:space="preserve"> and has been associated with lower anxiety </w:t>
      </w:r>
      <w:r w:rsidRPr="00C14DB6">
        <w:fldChar w:fldCharType="begin"/>
      </w:r>
      <w:r w:rsidR="000A0E40" w:rsidRPr="00C14DB6">
        <w:instrText xml:space="preserve"> ADDIN ZOTERO_ITEM CSL_CITATION {"citationID":"OauWNALl","properties":{"formattedCitation":"[55]","plainCitation":"[55]","noteIndex":0},"citationItems":[{"id":461,"uris":["http://zotero.org/groups/4860232/items/4TGFXN38"],"itemData":{"id":461,"type":"article-journal","abstract":"Background: Previous studies have shown that the activity of the amygdala is elevated in people experiencing clinical and subclinical levels of anxiety and depression (negative affect). It has been proposed that a reduction in inhibitory input to the amygdala from the prefrontal cortex and resultant over-activity of the amygdala underlies this association. Prior studies have found relationships between negative affect and 1) amygdala over-activity and 2) reduced amygdala-prefrontal connectivity. However, it is not known whether elevated amygdala activity is associated with decreased amygdala-prefrontal connectivity during negative affect states. Methods: Here we used resting-state arterial spin labeling (ASL) and blood oxygenation level dependent (BOLD) functional magnetic resonance imaging (fMRI) in combination to test this model, measuring the activity (regional cerebral blood flow, rCBF) and functional connectivity (correlated fluctuations in the BOLD signal) of one subregion of the amygdala with strong connections with the prefrontal cortex, the basolateral nucleus (BLA), and subsyndromal anxiety levels in 38 healthy subjects. Results: BLA rCBF was strongly correlated with anxiety levels. Moreover, both BLA rCBF and anxiety were inversely correlated with the strength of the functional coupling of the BLA with the caudal ventromedial prefrontal cortex. Lastly, BLA perfusion was found to be a mediator of the relationship between BLA-prefrontal connectivity and anxiety. Conclusions: These results show that both perfusion of the BLA and a measure of its functional coupling with the prefrontal cortex directly index anxiety levels in healthy subjects, and that low BLA-prefrontal connectivity may lead to increased BLA activity and resulting anxiety. Thus, these data provide key evidence for an often-cited circuitry model of negative affect, using a novel, multi-modal imaging approach. © 2014 Coombs et al.","container-title":"PLoS ONE","DOI":"10.1371/JOURNAL.PONE.0097466","ISSN":"19326203","issue":"5","note":"PMID: 24816735\npublisher: Public Library of Science","title":"Amygdala Perfusion Is Predicted by Its Functional Connectivity with the Ventromedial Prefrontal Cortex and Negative Affect","URL":"/pmc/articles/PMC4016310/","volume":"9","author":[{"family":"Coombs","given":"Garth"},{"family":"Loggia","given":"Marco L."},{"family":"Greve","given":"Douglas N."},{"family":"Holt","given":"Daphne J."}],"accessed":{"date-parts":[["2022",3,24]]},"issued":{"date-parts":[["2014",5,9]]}}}],"schema":"https://github.com/citation-style-language/schema/raw/master/csl-citation.json"} </w:instrText>
      </w:r>
      <w:r w:rsidRPr="00C14DB6">
        <w:fldChar w:fldCharType="separate"/>
      </w:r>
      <w:r w:rsidR="000A0E40" w:rsidRPr="00C14DB6">
        <w:t>[55]</w:t>
      </w:r>
      <w:r w:rsidRPr="00C14DB6">
        <w:fldChar w:fldCharType="end"/>
      </w:r>
      <w:r w:rsidRPr="00C14DB6">
        <w:t xml:space="preserve">. Thus, an elevated rsFC between the amygdala and the mPFC is present in </w:t>
      </w:r>
      <w:r w:rsidRPr="00C14DB6">
        <w:lastRenderedPageBreak/>
        <w:t xml:space="preserve">situations of positive gain, and in achievement-related stress situations at least in males. </w:t>
      </w:r>
      <w:bookmarkStart w:id="9" w:name="_Hlk121743905"/>
      <w:r w:rsidRPr="00C14DB6">
        <w:t xml:space="preserve">Together with the current results, this suggests that females are possibly experiencing social gain from interactions although in stressful situations. </w:t>
      </w:r>
      <w:bookmarkEnd w:id="9"/>
      <w:r w:rsidRPr="00C14DB6">
        <w:t xml:space="preserve">Indeed, reward anticipation, as in this case the social interaction for females, could even buffer the subjective and hormonal stress reactivity </w:t>
      </w:r>
      <w:r w:rsidRPr="00C14DB6">
        <w:fldChar w:fldCharType="begin"/>
      </w:r>
      <w:r w:rsidR="000A0E40" w:rsidRPr="00C14DB6">
        <w:instrText xml:space="preserve"> ADDIN ZOTERO_ITEM CSL_CITATION {"citationID":"kQ1Q0i3N","properties":{"formattedCitation":"[56]","plainCitation":"[56]","noteIndex":0},"citationItems":[{"id":813,"uris":["http://zotero.org/groups/4860232/items/GSC7V47B"],"itemData":{"id":813,"type":"article-journal","abstract":"Research over the last 10 years suggests that the brain’s reward system plays a crucial role in stress resilience. Notably, reward processing includes both an anticipatory (cue-triggered “wanting”) phase and a consummatory (“liking”) phase. However, previous studies manipulated rewards via direct reward administration, which makes it difficult to isolate the buffering effect of anticipating the reward stimulus. In the current study, we designed a paradigm to manipulate participants into generating reward anticipation or not and investigated whether reward anticipation can buffer psychological, neuroendocrine, and cardiovascular responses to psychosocial stress. A sample of 78 healthy young adults underwent the Trier Social Stress Test or placebo-Trier Social Stress Test after a reward anticipation task. Results showed that reward anticipation relieved subjective stress feelings, as well as the overall cortisol secretion and the increased heart rate induced by psychosocial stress. Taken together, these findings expanded our understanding of the role the reward system plays in stress resilience, and the possible psychological mechanism of the buffering effect for future stress study was also discussed.HIGHLIGHTSReward processing includes both an anticipatory and consummatory phasesThe buffering effect of anticipating the reward stimulus requires elucidationWe examined if said anticipation buffers varied responses to psychosocial stressReward anticipation relieved subjective stress, cortisol secretion, and heart rateWe clarified the role of the reward system in stress resilience","container-title":"Stress","DOI":"10.1080/10253890.2021.1923690","ISSN":"1025-3890","issue":"6","note":"publisher: Taylor &amp; Francis\n_eprint: https://doi.org/10.1080/10253890.2021.1923690\nPMID: 33970772","page":"805-813","source":"Taylor and Francis+NEJM","title":"Reward anticipation buffers neuroendocrine and cardiovascular responses to acute psychosocial stress in healthy young adults","volume":"24","author":[{"family":"Hu","given":"Weiyu"},{"family":"Yang","given":"Juan"}],"issued":{"date-parts":[["2021",11,2]]}}}],"schema":"https://github.com/citation-style-language/schema/raw/master/csl-citation.json"} </w:instrText>
      </w:r>
      <w:r w:rsidRPr="00C14DB6">
        <w:fldChar w:fldCharType="separate"/>
      </w:r>
      <w:r w:rsidR="000A0E40" w:rsidRPr="00C14DB6">
        <w:t>[56]</w:t>
      </w:r>
      <w:r w:rsidRPr="00C14DB6">
        <w:fldChar w:fldCharType="end"/>
      </w:r>
      <w:r w:rsidRPr="00C14DB6">
        <w:t>.</w:t>
      </w:r>
    </w:p>
    <w:p w14:paraId="70301541" w14:textId="77777777" w:rsidR="00B944B2" w:rsidRPr="00C14DB6" w:rsidRDefault="00B944B2" w:rsidP="00C14DB6">
      <w:pPr>
        <w:pStyle w:val="MDPI31text"/>
        <w:ind w:left="0"/>
      </w:pPr>
      <w:r w:rsidRPr="00C14DB6">
        <w:t xml:space="preserve">In addition to this, the observed sex difference with higher amygdala-mPFC rsFC in females compared to males is partly in contrast to a previous study, describing heightened amygdala-mPFC rsFC in males compared to females but worth mentioning independent of an applied task and rather in the connectivity between the laterobasal amygdala and the rectal gyrus [23]. Furthermore our results also emphasise the importance of setting up study designs specifically investigating sex differences and of including both females and males, as male-only samples suggest heightened amygdala-mPFC rsFC in a facial expression task </w:t>
      </w:r>
      <w:r w:rsidRPr="00C14DB6">
        <w:fldChar w:fldCharType="begin"/>
      </w:r>
      <w:r w:rsidRPr="00C14DB6">
        <w:instrText xml:space="preserve"> ADDIN ZOTERO_ITEM CSL_CITATION {"citationID":"ER1GcOVQ","properties":{"formattedCitation":"[14]","plainCitation":"[14]","noteIndex":0},"citationItems":[{"id":494,"uris":["http://zotero.org/groups/4860232/items/KAFW9Z67"],"itemData":{"id":494,"type":"article-journal","abstract":"Acute stress is associated with a sensitized amygdala. Corticosteroids, released in response to stress, are suggested to restore homeostasis by normalizing/desensitizing brain processing in the aftermath of stress. Here, we investigated the effects of corticosteroids on amygdala processing using functional magnetic resonance imaging. Since corticosteroids exert rapid nongenomic and slow genomic effects, we administered hydrocortisone either 75 min (rapid effects) or 285 min (slow effects) before scanning in a randomized, double-blind, placebo-controlled design. Seventy-two healthy males were scanned while viewing faces morphing from a neutral facial expression into fearful or happy expressions. Imaging results revealed that hydrocortisone desensitizes amygdala responsivity rapidly, while it selectively normalizes responses to negative stimuli slowly. Psychophysiological interaction analyses suggested that this slow normalization is related to an altered coupling of the amygdala with the medial prefrontal cortex. These results reveal a temporarily fine-tuned mechanism that is critical for avoiding amygdala overshoot during stress and enabling adequate recovery thereafter. Copyright © 2010 the authors.","container-title":"The Journal of neuroscience : the official journal of the Society for Neuroscience","DOI":"10.1523/JNEUROSCI.3112-10.2010","ISSN":"1529-2401","issue":"38","note":"PMID: 20861377\npublisher: J Neurosci","page":"12725-12732","title":"Time-dependent effects of corticosteroids on human amygdala processing","volume":"30","author":[{"family":"Henckens","given":"Marloes J.A.G."},{"family":"Van Wingen","given":"Guido A."},{"family":"Joëls","given":"Marian"},{"family":"Fernández","given":"Guillén"}],"issued":{"date-parts":[["2010",9,22]]}}}],"schema":"https://github.com/citation-style-language/schema/raw/master/csl-citation.json"} </w:instrText>
      </w:r>
      <w:r w:rsidRPr="00C14DB6">
        <w:fldChar w:fldCharType="separate"/>
      </w:r>
      <w:r w:rsidRPr="00C14DB6">
        <w:t>[14]</w:t>
      </w:r>
      <w:r w:rsidRPr="00C14DB6">
        <w:fldChar w:fldCharType="end"/>
      </w:r>
      <w:r w:rsidRPr="00C14DB6">
        <w:t xml:space="preserve"> and during the stress-recovery phase one hour after stress </w:t>
      </w:r>
      <w:r w:rsidRPr="00C14DB6">
        <w:fldChar w:fldCharType="begin"/>
      </w:r>
      <w:r w:rsidRPr="00C14DB6">
        <w:instrText xml:space="preserve"> ADDIN ZOTERO_ITEM CSL_CITATION {"citationID":"9lEFyArv","properties":{"formattedCitation":"[10]","plainCitation":"[10]","noteIndex":0},"citationItems":[{"id":483,"uris":["http://zotero.org/groups/4860232/items/WEUIMVAF"],"itemData":{"id":483,"type":"article-journal","abstract":"Whereas we know a fair amount on the role of the amygdala in the acute stress response, virtually nothing is known about its role during the recovery period after the stress has waned. Functional connectivity analysis of the amygdala during this period might be useful in revealing brain circuits promoting adaptive recovery from a stressful event, as well as consolidation of emotionally relevant information in preparing for future challenges.Healthy participants were randomly assigned to either a psychosocial stress task (n = 18; stress group) or a comparable non-stressful control procedure (n = 20; controls). To study the prolonged effects of stress on amygdala functional connectivity, resting-state fMRI scans were acquired an hour after the stress task. Amygdala functional connectivity with other brain regions was assessed using seed-based correlations.The stress group exhibited a strong physiological and behavioral reaction to psychosocial stress exposure. Compared with controls the stress group showed increased amygdala functional connectivity with three cortical midline structures: the posterior cingulate cortex and precuneus (p&lt;05, corrected), and the medial prefrontal cortex (p&lt;05, small volume corrected).An hour after psychosocial stress, changes in amygdala functional connectivity were detected with cortical midline structures involved in the processing and regulation of emotions, as well as autobiographical memory. It is hypothesized that these effects could relate to top-down control of the amygdala and consolidation of self-relevant information after a stressful event. These results on functional connectivity in the recovery phase after stress might provide an important new vantage point in studying both sensitivity and resilience to stress. © 2011 Elsevier Inc.","container-title":"NeuroImage","DOI":"10.1016/J.NEUROIMAGE.2011.05.074","ISSN":"10538119","issue":"4","note":"PMID: 21664280","page":"1534-1541","title":"Beyond acute social stress: Increased functional connectivity between amygdala and cortical midline structures","volume":"57","author":[{"family":"Veer","given":"Ilya M."},{"family":"Oei","given":"Nicole Y.L."},{"family":"Spinhoven","given":"Philip"},{"family":"Buchem","given":"Mark A.","non-dropping-particle":"van"},{"family":"Elzinga","given":"Bernet M."},{"family":"Rombouts","given":"Serge A.R.B."}],"issued":{"date-parts":[["2011",8,15]]}}}],"schema":"https://github.com/citation-style-language/schema/raw/master/csl-citation.json"} </w:instrText>
      </w:r>
      <w:r w:rsidRPr="00C14DB6">
        <w:fldChar w:fldCharType="separate"/>
      </w:r>
      <w:r w:rsidRPr="00C14DB6">
        <w:t>[10]</w:t>
      </w:r>
      <w:r w:rsidRPr="00C14DB6">
        <w:fldChar w:fldCharType="end"/>
      </w:r>
      <w:r w:rsidRPr="00C14DB6">
        <w:t xml:space="preserve">. Taken together with the current results, this shows that neglecting females in research biases the outcome interpretation. Thus, investigating sex and stressor specific differences and interactions is still in its infancies and more studies on sex differences in stress specifically must be performed. </w:t>
      </w:r>
    </w:p>
    <w:p w14:paraId="7FAC49C2" w14:textId="77777777" w:rsidR="00B944B2" w:rsidRPr="00C14DB6" w:rsidRDefault="00B944B2" w:rsidP="00C14DB6">
      <w:pPr>
        <w:pStyle w:val="MDPI31text"/>
        <w:ind w:left="0"/>
      </w:pPr>
      <w:r w:rsidRPr="00C14DB6" w:rsidDel="00337A87">
        <w:t xml:space="preserve">In our current study, we propose that heightened rsFC of the amygdala with the vACC and mPFC </w:t>
      </w:r>
      <w:r w:rsidRPr="00C14DB6">
        <w:t xml:space="preserve">before and after </w:t>
      </w:r>
      <w:r w:rsidRPr="00C14DB6" w:rsidDel="00337A87">
        <w:t xml:space="preserve">social exclusion in females compared to males </w:t>
      </w:r>
      <w:r w:rsidRPr="00C14DB6">
        <w:t xml:space="preserve">and compared to achievement stress </w:t>
      </w:r>
      <w:r w:rsidRPr="00C14DB6" w:rsidDel="00337A87">
        <w:t xml:space="preserve">might indicate that females </w:t>
      </w:r>
      <w:r w:rsidRPr="00C14DB6">
        <w:t xml:space="preserve">are </w:t>
      </w:r>
      <w:r w:rsidRPr="00C14DB6" w:rsidDel="00337A87">
        <w:t xml:space="preserve">feeling rewarded </w:t>
      </w:r>
      <w:r w:rsidRPr="00C14DB6">
        <w:t xml:space="preserve">by social engagement </w:t>
      </w:r>
      <w:r w:rsidRPr="00C14DB6" w:rsidDel="00337A87">
        <w:t xml:space="preserve">and </w:t>
      </w:r>
      <w:r w:rsidRPr="00C14DB6">
        <w:t>are experiencing social gain from interactions. Additionally, females seem to be more susceptible to social stress, which might be particularly salient for them, and they are therefore more affected by socially stressful situations and need to engage more coping mechanisms within these situations than males.</w:t>
      </w:r>
    </w:p>
    <w:p w14:paraId="0F968E17" w14:textId="00F0C3DD" w:rsidR="00B944B2" w:rsidRPr="00C14DB6" w:rsidRDefault="00B944B2" w:rsidP="00C14DB6">
      <w:pPr>
        <w:pStyle w:val="MDPI31text"/>
        <w:ind w:left="0"/>
      </w:pPr>
      <w:r w:rsidRPr="00C14DB6">
        <w:t xml:space="preserve">The assessment of sex differences are particularly important with regards to different prevalence rates of mental disorders, as women are more susceptible to stress-related disorders such as depression and anxiety </w:t>
      </w:r>
      <w:r w:rsidRPr="00C14DB6">
        <w:fldChar w:fldCharType="begin"/>
      </w:r>
      <w:r w:rsidRPr="00C14DB6">
        <w:instrText xml:space="preserve"> ADDIN ZOTERO_ITEM CSL_CITATION {"citationID":"NqHVBSbs","properties":{"formattedCitation":"[20]","plainCitation":"[20]","noteIndex":0},"citationItems":[{"id":424,"uris":["http://zotero.org/groups/4860232/items/7F3PPCC4"],"itemData":{"id":424,"type":"article-journal","abstract":"Clinicians can encounter sex and gender disparities in diagnostic and therapeutic responses. These disparities are noted in epidemiology, pathophysiology, clinical manifestations, disease progression, and response to treatment. This Review discusses the fundamental influences of sex and gender as modifiers of the major causes of death and morbidity. We articulate how the genetic, epigenetic, and hormonal influences of biological sex influence physiology and disease, and how the social constructs of gender affect the behaviour of the community, clinicians, and patients in the health-care system and interact with pathobiology. We aim to guide clinicians and researchers to consider sex and gender in their approach to diagnosis, prevention, and treatment of diseases as a necessary and fundamental step towards precision medicine, which will benefit men's and women's health.","container-title":"Lancet (London, England)","DOI":"10.1016/S0140-6736(20)31561-0","ISSN":"1474547X","issue":"10250","note":"PMID: 32828189\npublisher: Elsevier","page":"565","title":"Sex and gender: modifiers of health, disease, and medicine","volume":"396","author":[{"family":"Mauvais-Jarvis","given":"Franck"},{"family":"Bairey Merz","given":"Noel"},{"family":"Barnes","given":"Peter J."},{"family":"Brinton","given":"Roberta D."},{"family":"Carrero","given":"Juan Jesus"},{"family":"DeMeo","given":"Dawn L."},{"family":"De Vries","given":"Geert J."},{"family":"Epperson","given":"C. Neill"},{"family":"Govindan","given":"Ramaswamy"},{"family":"Klein","given":"Sabra L."},{"family":"Lonardo","given":"Amedeo"},{"family":"Maki","given":"Pauline M."},{"family":"McCullough","given":"Louise D."},{"family":"Regitz-Zagrosek","given":"Vera"},{"family":"Regensteiner","given":"Judith G."},{"family":"Rubin","given":"Joshua B."},{"family":"Sandberg","given":"Kathryn"},{"family":"Suzuki","given":"Ayako"}],"issued":{"date-parts":[["2020",8,22]]}}}],"schema":"https://github.com/citation-style-language/schema/raw/master/csl-citation.json"} </w:instrText>
      </w:r>
      <w:r w:rsidRPr="00C14DB6">
        <w:fldChar w:fldCharType="separate"/>
      </w:r>
      <w:r w:rsidRPr="00C14DB6">
        <w:t>[20]</w:t>
      </w:r>
      <w:r w:rsidRPr="00C14DB6">
        <w:fldChar w:fldCharType="end"/>
      </w:r>
      <w:r w:rsidRPr="00C14DB6">
        <w:t xml:space="preserve">, while men are more prone to suffer from substance </w:t>
      </w:r>
      <w:r w:rsidR="006823CA" w:rsidRPr="00C14DB6">
        <w:t xml:space="preserve">misuse </w:t>
      </w:r>
      <w:r w:rsidRPr="00C14DB6">
        <w:fldChar w:fldCharType="begin"/>
      </w:r>
      <w:r w:rsidRPr="00C14DB6">
        <w:instrText xml:space="preserve"> ADDIN ZOTERO_ITEM CSL_CITATION {"citationID":"A9Xl8xCp","properties":{"formattedCitation":"[20,21]","plainCitation":"[20,21]","noteIndex":0},"citationItems":[{"id":424,"uris":["http://zotero.org/groups/4860232/items/7F3PPCC4"],"itemData":{"id":424,"type":"article-journal","abstract":"Clinicians can encounter sex and gender disparities in diagnostic and therapeutic responses. These disparities are noted in epidemiology, pathophysiology, clinical manifestations, disease progression, and response to treatment. This Review discusses the fundamental influences of sex and gender as modifiers of the major causes of death and morbidity. We articulate how the genetic, epigenetic, and hormonal influences of biological sex influence physiology and disease, and how the social constructs of gender affect the behaviour of the community, clinicians, and patients in the health-care system and interact with pathobiology. We aim to guide clinicians and researchers to consider sex and gender in their approach to diagnosis, prevention, and treatment of diseases as a necessary and fundamental step towards precision medicine, which will benefit men's and women's health.","container-title":"Lancet (London, England)","DOI":"10.1016/S0140-6736(20)31561-0","ISSN":"1474547X","issue":"10250","note":"PMID: 32828189\npublisher: Elsevier","page":"565","title":"Sex and gender: modifiers of health, disease, and medicine","volume":"396","author":[{"family":"Mauvais-Jarvis","given":"Franck"},{"family":"Bairey Merz","given":"Noel"},{"family":"Barnes","given":"Peter J."},{"family":"Brinton","given":"Roberta D."},{"family":"Carrero","given":"Juan Jesus"},{"family":"DeMeo","given":"Dawn L."},{"family":"De Vries","given":"Geert J."},{"family":"Epperson","given":"C. Neill"},{"family":"Govindan","given":"Ramaswamy"},{"family":"Klein","given":"Sabra L."},{"family":"Lonardo","given":"Amedeo"},{"family":"Maki","given":"Pauline M."},{"family":"McCullough","given":"Louise D."},{"family":"Regitz-Zagrosek","given":"Vera"},{"family":"Regensteiner","given":"Judith G."},{"family":"Rubin","given":"Joshua B."},{"family":"Sandberg","given":"Kathryn"},{"family":"Suzuki","given":"Ayako"}],"issued":{"date-parts":[["2020",8,22]]}}},{"id":474,"uris":["http://zotero.org/groups/4860232/items/K2A4EACF"],"itemData":{"id":474,"type":"article-journal","abstract":"Women are about twice as likely as are men to develop depression during their lifetime. This Series paper summarises evidence regarding the epidemiology on gender differences in prevalence, incidence, and course of depression, and factors possibly explaining the gender gap. Gender-related subtypes of depression are suggested to exist, of which the developmental subtype has the strongest potential to contribute to the gender gap. Limited evidence exists for risk factors to be specifically linked to depression. Future research could profit from a transdiagnostic perspective, permitting the differentiation of specific susceptibilities from those predicting general psychopathologies within and across the internalising and externalising spectra. An integration of the Research Domain Criteria framework will allow examination of gender differences in core psychological functions, within the context of developmental transitions and environmental settings. Monitoring of changing socioeconomic and cultural trends in factors contributing to the gender gap will be important, as well as the influence of these trends on changes in symptom expression across psychopathologies in men and women.","container-title":"The lancet. Psychiatry","DOI":"10.1016/S2215-0366(16)30263-2","ISSN":"2215-0374","issue":"2","note":"PMID: 27856392\npublisher: Lancet Psychiatry","page":"146-158","title":"Why is depression more common among women than among men?","volume":"4","author":[{"family":"Kuehner","given":"Christine"}],"issued":{"date-parts":[["2017",2,1]]}}}],"schema":"https://github.com/citation-style-language/schema/raw/master/csl-citation.json"} </w:instrText>
      </w:r>
      <w:r w:rsidRPr="00C14DB6">
        <w:fldChar w:fldCharType="separate"/>
      </w:r>
      <w:r w:rsidRPr="00C14DB6">
        <w:t>[20,21]</w:t>
      </w:r>
      <w:r w:rsidRPr="00C14DB6">
        <w:fldChar w:fldCharType="end"/>
      </w:r>
      <w:r w:rsidRPr="00C14DB6">
        <w:t xml:space="preserve">. These prevalence rates might be affected by different stressor types such as social exclusion or achievement stressors in sex-dependent, distinct ways. Sex-specific reactions to different stressors might partly explain sex-specific prevalence rates in mental disorders </w:t>
      </w:r>
      <w:r w:rsidRPr="00C14DB6">
        <w:fldChar w:fldCharType="begin"/>
      </w:r>
      <w:r w:rsidRPr="00C14DB6">
        <w:instrText xml:space="preserve"> ADDIN ZOTERO_ITEM CSL_CITATION {"citationID":"VltX0fTX","properties":{"formattedCitation":"[18]","plainCitation":"[18]","noteIndex":0},"citationItems":[{"id":418,"uris":["http://zotero.org/groups/4860232/items/XB6ZF3KJ"],"itemData":{"id":418,"type":"article-journal","abstract":"The hypothalamic–pituitary–adrenal (HPA) axis, a neuroendocrine network that controls hormonal responses to internal and external challenges in an organism’s environment, exhibits strikingly sex-biased activity. In adult female rodents, acute HPA function following a stressor is markedly greater than it is in males, and this difference has largely been attributed to modulation by the gonadal hormones testosterone and estradiol. These gonadal hormones are produced by the hypothalamic–pituitary–gonadal (HPG) axis and have been shown to determine sex differences in adult HPA function after acute stress via their activational and organizational effects. Although these actions of gonadal hormones are well supported, the possibility that sex chromosomes similarly influence HPA activity is unexplored. Moreover, questions remain regarding sex differences in the activity of the HPA axis following chronic stress and the underlying contributions of gonadal hormones and sex chromosomes. The present review examines what is currently known about sex differences in the neuroendocrine response to stress, as well as outstanding questions regarding this sex bias. Although it primarily focuses on the rodent literature, a brief discussion of sex differences in the human HPA axis is also included.","container-title":"Neuropsychopharmacology","DOI":"10.1038/S41386-018-0167-9","ISSN":"1740634X","issue":"1","note":"PMID: 30111811\npublisher: Nature Publishing Group","page":"45","title":"Sex differences in the hypothalamic–pituitary–adrenal axis’ response to stress: an important role for gonadal hormones","volume":"44","author":[{"family":"Heck","given":"Ashley L."},{"family":"Handa","given":"Robert J."}],"issued":{"date-parts":[["2019",1,1]]}}}],"schema":"https://github.com/citation-style-language/schema/raw/master/csl-citation.json"} </w:instrText>
      </w:r>
      <w:r w:rsidRPr="00C14DB6">
        <w:fldChar w:fldCharType="separate"/>
      </w:r>
      <w:r w:rsidRPr="00C14DB6">
        <w:t>[18]</w:t>
      </w:r>
      <w:r w:rsidRPr="00C14DB6">
        <w:fldChar w:fldCharType="end"/>
      </w:r>
      <w:r w:rsidRPr="00C14DB6">
        <w:t>.</w:t>
      </w:r>
    </w:p>
    <w:p w14:paraId="1DD5D084" w14:textId="2BF7B164" w:rsidR="00B944B2" w:rsidRPr="00C14DB6" w:rsidRDefault="00A5616E" w:rsidP="00C14DB6">
      <w:pPr>
        <w:pStyle w:val="MDPI22heading2"/>
        <w:spacing w:before="240"/>
        <w:ind w:left="0"/>
      </w:pPr>
      <w:r w:rsidRPr="00C14DB6">
        <w:t xml:space="preserve">4.2. </w:t>
      </w:r>
      <w:r w:rsidR="00B944B2" w:rsidRPr="00C14DB6">
        <w:t>Sex-independent effects in stress reaction on amygdala-frontal stress networks.</w:t>
      </w:r>
    </w:p>
    <w:p w14:paraId="2EAD085C" w14:textId="77777777" w:rsidR="00B944B2" w:rsidRPr="00C14DB6" w:rsidRDefault="00B944B2" w:rsidP="00C14DB6">
      <w:pPr>
        <w:pStyle w:val="MDPI31text"/>
        <w:ind w:left="0"/>
      </w:pPr>
      <w:r w:rsidRPr="00C14DB6">
        <w:t>Stressor type seems to be influential not only regarding sex differences, but general differences also appeared in both females and males for social exclusion and achievement stress. Cortisol levels decreased after stress induction in social exclusion, but not following achievement stress. Anger showed a stressor-specific effect with higher anger ratings post-achievement stress not present post-social exclusion. Further, while bearing in mind that our multiple regression analyses were merely exploratory, we found negative associations of positive affect and anger with amygdala-frontal rsFC for achievement stress: decreased positive affect was associated with increased amygdala–mPFC rsFC and decreased anger was associated with increased amygdala–vACC rsFC.</w:t>
      </w:r>
    </w:p>
    <w:p w14:paraId="3F2671EF" w14:textId="4D8A2FB0" w:rsidR="00B944B2" w:rsidRPr="00C14DB6" w:rsidRDefault="00B944B2" w:rsidP="00C14DB6">
      <w:pPr>
        <w:pStyle w:val="MDPI31text"/>
        <w:ind w:left="0"/>
      </w:pPr>
      <w:r w:rsidRPr="00C14DB6">
        <w:t>Although we were expecting a cortisol increase after the stressors and did not see it, this lacking cortisol increase has been reported repeatedly in other studies after stress induction in an fMRI environment (</w:t>
      </w:r>
      <w:r w:rsidRPr="00C14DB6">
        <w:fldChar w:fldCharType="begin"/>
      </w:r>
      <w:r w:rsidRPr="00C14DB6">
        <w:instrText xml:space="preserve"> ADDIN ZOTERO_ITEM CSL_CITATION {"citationID":"Pxj9QI6M","properties":{"formattedCitation":"[57]","plainCitation":"[57]","noteIndex":0},"citationItems":[{"id":800,"uris":["http://zotero.org/groups/4860232/items/Z5LX9WEB"],"itemData":{"id":800,"type":"article-journal","abstract":"We examined the influence of three major environmental variables at the place of residence as potential moderating variables for neurofunctional activation during a social-stress paradigm. Data from functional magnetic resonance imaging of 42 male participants were linked to publicly accessible governmental databases providing information on amount of green space, air pollution, and noise pollution. We hypothesized that stress-related brain activation in regions important for emotion regulation were associated positively with green space and associated negatively with air pollution and noise pollution. A higher percentage of green space was associated with stronger parietal and insular activation during stress compared with that in the control condition. More air pollution was associated with weaker activation in the same (but also extended) brain regions. These findings may serve as an important reference for future studies in the emerging field of “neuro-urbanism” and emphasize the importance of environmental factors in urban planning.","container-title":"Scientific Reports","DOI":"10.1038/s41598-022-14659-z","ISSN":"2045-2322","journalAbbreviation":"Sci Rep","note":"PMID: 35739150\nPMCID: PMC9226020","page":"10614","source":"PubMed Central","title":"Residential green space and air pollution are associated with brain activation in a social-stress paradigm","volume":"12","author":[{"family":"Dimitrov-Discher","given":"Annika"},{"family":"Wenzel","given":"Julia"},{"family":"Kabisch","given":"Nadja"},{"family":"Hemmerling","given":"Jan"},{"family":"Bunz","given":"Maxie"},{"family":"Schöndorf","given":"Jonas"},{"family":"Walter","given":"Henrik"},{"family":"Veer","given":"Ilya M."},{"family":"Adli","given":"Mazda"}],"issued":{"date-parts":[["2022",6,23]]}}}],"schema":"https://github.com/citation-style-language/schema/raw/master/csl-citation.json"} </w:instrText>
      </w:r>
      <w:r w:rsidRPr="00C14DB6">
        <w:fldChar w:fldCharType="separate"/>
      </w:r>
      <w:r w:rsidRPr="00C14DB6">
        <w:t>[57]</w:t>
      </w:r>
      <w:r w:rsidRPr="00C14DB6">
        <w:fldChar w:fldCharType="end"/>
      </w:r>
      <w:r w:rsidRPr="00C14DB6">
        <w:t xml:space="preserve">, for a review see </w:t>
      </w:r>
      <w:r w:rsidRPr="00C14DB6">
        <w:fldChar w:fldCharType="begin"/>
      </w:r>
      <w:r w:rsidRPr="00C14DB6">
        <w:instrText xml:space="preserve"> ADDIN ZOTERO_ITEM CSL_CITATION {"citationID":"5aotFCwe","properties":{"formattedCitation":"[58]","plainCitation":"[58]","noteIndex":0},"citationItems":[{"id":811,"uris":["http://zotero.org/groups/4860232/items/U9R2JQFB"],"itemData":{"id":811,"type":"article-journal","abstract":"Processing of acute stress has potential implications for mental and physical health. At the same time, individuals differ largely in how strongly they react to stress. Neuroimaging paradigms have been developed to characterize the neural underpinnings of the stress response in general and to understand the mechanisms that differentiate high and low susceptible individuals. The goal of the present review was to summarize the current literature on psychosocial stress in the brain imaging environment. That is, we focused on the most common neuroimaging paradigms that have been used to induce acute stress and map out the questions that have been addressed with respect to the determinants, the consequences, and the processing of stress. We identified four major paradigms that have been used with different scientific aims. The Montreal Imaging Stress Test and the ScanSTRESS involve cognitive challenge and social-evaluative threat and yielded a stress-related network including most significantly the perigenual ACC, the hippocampus, and the amygdala. The social-evaluative threat paradigm was used to predict the autonomic stress response on the basis of multivariate pattern analysis. The aversive video paradigm, on the other hand, was mainly used to investigate the consequences of stress on emotional and cognitive processes and their neural correlates. We conclude our review with a critical evaluation of methodological and conceptual issues in the study of the neural correlates of acute stress.","container-title":"Journal of Neural Transmission (Vienna, Austria: 1996)","DOI":"10.1007/s00702-018-01965-y","ISSN":"1435-1463","issue":"9","journalAbbreviation":"J Neural Transm (Vienna)","language":"eng","note":"PMID: 30631946","page":"1187-1202","source":"PubMed","title":"Imaging stress: an overview of stress induction methods in the MR scanner","title-short":"Imaging stress","volume":"126","author":[{"family":"Noack","given":"Hannes"},{"family":"Nolte","given":"Leandra"},{"family":"Nieratschker","given":"Vanessa"},{"family":"Habel","given":"Ute"},{"family":"Derntl","given":"Birgit"}],"issued":{"date-parts":[["2019",9]]}}}],"schema":"https://github.com/citation-style-language/schema/raw/master/csl-citation.json"} </w:instrText>
      </w:r>
      <w:r w:rsidRPr="00C14DB6">
        <w:fldChar w:fldCharType="separate"/>
      </w:r>
      <w:r w:rsidRPr="00C14DB6">
        <w:t>[58]</w:t>
      </w:r>
      <w:r w:rsidRPr="00C14DB6">
        <w:fldChar w:fldCharType="end"/>
      </w:r>
      <w:r w:rsidRPr="00C14DB6">
        <w:t xml:space="preserve">). In itself, the fMRI environment can be stressful and lead to high cortisol levels preceding the scan, which then normalise after the scan and in subsequent scans </w:t>
      </w:r>
      <w:r w:rsidRPr="00C14DB6">
        <w:fldChar w:fldCharType="begin"/>
      </w:r>
      <w:r w:rsidRPr="00C14DB6">
        <w:instrText xml:space="preserve"> ADDIN ZOTERO_ITEM CSL_CITATION {"citationID":"Rr3syh7w","properties":{"formattedCitation":"[59]","plainCitation":"[59]","noteIndex":0},"citationItems":[{"id":773,"uris":["http://zotero.org/groups/4860232/items/669VDBKL"],"itemData":{"id":773,"type":"article-journal","abstract":"Magnetic resonance imaging (MRI) scans are a novel environment for most participants. The hypothalamic–pituitary–adrenal (HPA) axis modulates neurohormonal responses to novel and stressful experiences. We sought to examine the neurohormonal responses to MRI scans with the measurement of salivary cortisol. We examined: (1) acute effects of MRI scans by acquiring cortisol measurements immediately preceding and following the scan in comparison with basal cortisol levels, and (2) effects of novelty by measuring cortisol during repeated MRI scans in the same subjects. We examined these effects in two groups of subjects: healthy individuals (n=27, mean age 41.6 years) and patients with depression (n=24, mean age 40.0 years). Both groups showed elevated cortisol levels immediately preceding the MRI scan, particularly for the initial MRI scan, which normalised after the follow up MRI scans as compared with mean basal cortisol levels. There were no significant differences in the acute or mean basal cortisol levels between the groups. In summary, the MRI experience is stressful, particularly for the initial scan, but the stress response is reduced with subsequent scans.","container-title":"Psychoneuroendocrinology","DOI":"10.1016/j.psyneuen.2010.10.009","ISSN":"0306-4530","issue":"5","journalAbbreviation":"Psychoneuroendocrinology","language":"en","page":"737-741","source":"ScienceDirect","title":"Cortisol responses to serial MRI scans in healthy adults and in depression","volume":"36","author":[{"family":"Peters","given":"Sabine"},{"family":"Cleare","given":"Anthony J."},{"family":"Papadopoulos","given":"Andrew"},{"family":"Fu","given":"Cynthia H. Y."}],"issued":{"date-parts":[["2011",6,1]]}}}],"schema":"https://github.com/citation-style-language/schema/raw/master/csl-citation.json"} </w:instrText>
      </w:r>
      <w:r w:rsidRPr="00C14DB6">
        <w:fldChar w:fldCharType="separate"/>
      </w:r>
      <w:r w:rsidRPr="00C14DB6">
        <w:t>[59]</w:t>
      </w:r>
      <w:r w:rsidRPr="00C14DB6">
        <w:fldChar w:fldCharType="end"/>
      </w:r>
      <w:r w:rsidRPr="00C14DB6">
        <w:t xml:space="preserve">. Generally, within the circadian cortisol rhythm, levels decrease during the course of the day, referred to as the diurnal cortisol slope </w:t>
      </w:r>
      <w:r w:rsidRPr="00C14DB6">
        <w:fldChar w:fldCharType="begin"/>
      </w:r>
      <w:r w:rsidRPr="00C14DB6">
        <w:instrText xml:space="preserve"> ADDIN ZOTERO_ITEM CSL_CITATION {"citationID":"9dv4V5XO","properties":{"formattedCitation":"[60]","plainCitation":"[60]","noteIndex":0},"citationItems":[{"id":777,"uris":["http://zotero.org/groups/4860232/items/NLDYPWPQ"],"itemData":{"id":777,"type":"article-journal","abstract":"Salivary cortisol measures are increasingly being incorporated into large-scale, population-based, or epidemiological research, in which participants are selected to be representative of particular communities or populations of interest, and sample sizes are in the order of hundreds to tens of thousands of participants. These approaches to studying salivary cortisol provide important advantages but pose a set of challenges. The representative nature of sampling, and large samples sizes associated with population-based research offer high generalizability and power, and the ability to examine cortisol functioning in relation to: (a) a wide range of social environments; (b) a diverse array individuals and groups; and (c) a broad set of pre-disease and disease outcomes. The greater importance of high response rates (to maintain generalizability) and higher costs associated with this type of large-scale research, however, requires special adaptations of existing ambulatory cortisol protocols. These include: using the most efficient sample collection protocol possible that still adequately address the specific cortisol-related questions at hand, and ensuring the highest possible response and compliance rates among those individuals invited to participate. Examples of choices made, response rates obtained, and examples of results obtained from existing epidemiological cortisol studies are offered, as are suggestions for the modeling and interpretation of salivary cortisol data obtained in large-scale epidemiological research.","container-title":"Psychoneuroendocrinology","DOI":"10.1016/j.psyneuen.2009.06.011","ISSN":"0306-4530","issue":"10","journalAbbreviation":"Psychoneuroendocrinology","language":"en","page":"1423-1436","source":"ScienceDirect","title":"Assessing salivary cortisol in large-scale, epidemiological research","volume":"34","author":[{"family":"Adam","given":"Emma K."},{"family":"Kumari","given":"Meena"}],"issued":{"date-parts":[["2009",11,1]]}}}],"schema":"https://github.com/citation-style-language/schema/raw/master/csl-citation.json"} </w:instrText>
      </w:r>
      <w:r w:rsidRPr="00C14DB6">
        <w:fldChar w:fldCharType="separate"/>
      </w:r>
      <w:r w:rsidRPr="00C14DB6">
        <w:t>[60]</w:t>
      </w:r>
      <w:r w:rsidRPr="00C14DB6">
        <w:fldChar w:fldCharType="end"/>
      </w:r>
      <w:r w:rsidRPr="00C14DB6">
        <w:t xml:space="preserve">. This diurnal decrease was not apparent for achievement stress in the current study, speaking for some (weak) cortisol reactivity. Interestingly, we further did not see any change in amygdala-dlPFC rsFC in social exclusion or in achievement stress, which might be explained by the missing cortisol increase in our participants. Based on the neurocognitive framework by de Raedt and Hooley, increased connectivity between the amygdala and the dlPFC is associated with successful stress coping. Nevertheless, Quaedflieg and colleagues </w:t>
      </w:r>
      <w:r w:rsidRPr="00C14DB6">
        <w:fldChar w:fldCharType="begin"/>
      </w:r>
      <w:r w:rsidRPr="00C14DB6">
        <w:instrText xml:space="preserve"> ADDIN ZOTERO_ITEM CSL_CITATION {"citationID":"giMQ75IX","properties":{"formattedCitation":"[13]","plainCitation":"[13]","noteIndex":0},"citationItems":[{"id":495,"uris":["http://zotero.org/groups/4860232/items/3FF6I5XL"],"itemData":{"id":495,"type":"article-journal","abstract":"Stress-induced changes in functional brain connectivity have been linked to the etiology of stress-related disorders. Resting state functional connectivity (rsFC) is especially informative in characterizing the temporal trajectory of glucocorticoids during stress adaptation. Using the imaging Maastricht Acute Stress Test (iMAST), we induced acute stress in 39 healthy volunteers and monitored the neuroendocrine stress levels during three runs of resting state functional magnetic resonance imaging (rs-fMRI): before (run 1), immediately following (run 2), and 30min after acute stress (run 3). The iMAST resulted in strong increases in cortisol levels. Whole-brain analysis revealed that acute stress (run 2 - 1) was characterized by changes in connectivity of the amygdala with the ventrolateral prefrontal cortex (vlPFC), ventral posterior cingulate cortex (PCC), cuneus, parahippocampal gyrus, and culmen. Additionally, cortisol responders were characterized by enhanced amygdala - medial prefrontal cortex (mPFC) connectivity. Stress recovery (run 3 - 2) was characterized by altered amygdala connectivity with the dorsolateral prefrontal cortex (dlPFC), ventral and dorsal anterior cingulate cortex (ACC), anterior hippocampal complex, cuneus, and presupplementary motor area (preSMA). Opposite to non-responders, cortisol responders were characterized by enhanced amygdala connectivity with the anterior hippocampal complex and parahippocampal gyrus, and reduced connectivity with left dlPFC, dACC, and culmen during early recovery. Acute stress responding and recovery are thus associated with changes in the functional connectivity of the amygdala network. Our findings show that these changes may be regulated via stress-induced neuroendocrine levels. Defining stress-induced neuronal network changes is pertinent to developing treatments that target abnormal neuronal activity.","container-title":"PloS one","DOI":"10.1371/JOURNAL.PONE.0124141","ISSN":"1932-6203","issue":"5","note":"PMID: 25946334\npublisher: PLoS One","title":"Temporal dynamics of stress-induced alternations of intrinsic amygdala connectivity and neuroendocrine levels","URL":"https://pubmed.ncbi.nlm.nih.gov/25946334/","volume":"10","author":[{"family":"Quaedflieg","given":"C. W.E.M."},{"family":"Van De Ven","given":"V."},{"family":"Meyer","given":"T."},{"family":"Siep","given":"N."},{"family":"Merckelbach","given":"H."},{"family":"Smeets","given":"T."}],"accessed":{"date-parts":[["2022",2,17]]},"issued":{"date-parts":[["2015",5,6]]}}}],"schema":"https://github.com/citation-style-language/schema/raw/master/csl-citation.json"} </w:instrText>
      </w:r>
      <w:r w:rsidRPr="00C14DB6">
        <w:fldChar w:fldCharType="separate"/>
      </w:r>
      <w:r w:rsidRPr="00C14DB6">
        <w:t>[13]</w:t>
      </w:r>
      <w:r w:rsidRPr="00C14DB6">
        <w:fldChar w:fldCharType="end"/>
      </w:r>
      <w:r w:rsidRPr="00C14DB6">
        <w:t xml:space="preserve"> reported reduced amygdala-dlPFC coupling only in cortisol responders compared to non-responders, suggesting worse stress coping in cortisol responders than non-responders. Thus, coupling between the amygdala and the dlPFC might be connected to hormonal changes such as cortisol expression </w:t>
      </w:r>
      <w:r w:rsidRPr="00C14DB6">
        <w:fldChar w:fldCharType="begin"/>
      </w:r>
      <w:r w:rsidRPr="00C14DB6">
        <w:instrText xml:space="preserve"> ADDIN ZOTERO_ITEM CSL_CITATION {"citationID":"yOzf1mme","properties":{"formattedCitation":"[24]","plainCitation":"[24]","noteIndex":0},"citationItems":[{"id":509,"uris":["http://zotero.org/groups/4860232/items/9F9UT7X4"],"itemData":{"id":509,"type":"article-journal","abstract":"Human amygdalae are involved in various behavioral functions such as affective and stress processing. For these behavioral functions, as well as for psychophysiological arousal including cortisol release, sex differences are reported.Here, we assessed cortisol levels and resting-state functional connectivity (rsFC) of left and right amygdalae in 81 healthy participants (42 women) to investigate potential modulation of amygdala rsFC by sex and cortisol concentration.Our analyses revealed that rsFC of the left amygdala significantly differed between women and men: Women showed stronger rsFC than men between the left amygdala and left middle temporal gyrus, inferior frontal gyrus, postcentral gyrus and hippocampus, regions involved in face processing, inner-speech, fear and pain processing. No stronger connections were detected for men and no sex difference emerged for right amygdala rsFC. Also, an interaction of sex and cortisol appeared: In women, cortisol was negatively associated with rsFC of the amygdalae with striatal regions, mid-orbital frontal gyrus, anterior cingulate gyrus, middle and superior frontal gyri, supplementary motor area and the parietal-occipital sulcus. Contrarily in men, positive associations of cortisol with rsFC of the left amygdala and these structures were observed. Functional decoding analyses revealed an association of the amygdalae and these regions with emotion, reward and memory processing, as well as action execution.Our results suggest that functional connectivity of the amygdalae as well as the regulatory effect of cortisol on brain networks differs between women and men. These sex-differences and the mediating and sex-dependent effect of cortisol on brain communication systems should be taken into account in affective and stress-related neuroimaging research. Thus, more studies including both sexes are required.","container-title":"NeuroImage","DOI":"10.1016/J.NEUROIMAGE.2016.03.064","ISSN":"1095-9572","note":"PMID: 27039701\npublisher: Neuroimage","page":"410-423","title":"Sex differences in the functional connectivity of the amygdalae in association with cortisol","volume":"134","author":[{"family":"Kogler","given":"Lydia"},{"family":"Müller","given":"Veronika I."},{"family":"Seidel","given":"Eva Maria"},{"family":"Boubela","given":"Roland"},{"family":"Kalcher","given":"Klaudius"},{"family":"Moser","given":"Ewald"},{"family":"Habel","given":"Ute"},{"family":"Gur","given":"Ruben C."},{"family":"Eickhoff","given":"Simon B."},{"family":"Derntl","given":"Birgit"}],"issued":{"date-parts":[["2016",7,1]]}},"locator":"16"}],"schema":"https://github.com/citation-style-language/schema/raw/master/csl-citation.json"} </w:instrText>
      </w:r>
      <w:r w:rsidRPr="00C14DB6">
        <w:fldChar w:fldCharType="separate"/>
      </w:r>
      <w:r w:rsidRPr="00C14DB6">
        <w:t>[24]</w:t>
      </w:r>
      <w:r w:rsidRPr="00C14DB6">
        <w:fldChar w:fldCharType="end"/>
      </w:r>
      <w:r w:rsidRPr="00C14DB6">
        <w:t xml:space="preserve">. Nevertheless, even with a missing cortisol increase, subjective parameters, such as elevated anger and negative affect as well as decreased positive affect clearly indicate an increase in stress and negative emotions. Especially anger showed a stressor-specific increase, with higher ratings post-achievement stress compared to post-social exclusion. Together with the exploratory result of decreasing amygdala-vACC rsFC going along with </w:t>
      </w:r>
      <w:r w:rsidRPr="00C14DB6">
        <w:lastRenderedPageBreak/>
        <w:t xml:space="preserve">increasing anger, this might suggest that achievement stress negatively, subjectively affects participants. Higher rsFC of the amygdala with the vACC was previously found in situations of achievement stress with an additional social component </w:t>
      </w:r>
      <w:r w:rsidR="00965F1F" w:rsidRPr="00C14DB6">
        <w:t>[10,13</w:t>
      </w:r>
      <w:r w:rsidRPr="00C14DB6">
        <w:t xml:space="preserve">], but not with achievement stress alone. Further, we found that decreased positive affect was associated with increased amygdala–mPFC. Taken together with the literature showing amygdala-mPFC rsFC to be present after psychosocial stress (achievement stress with a social component) in a male-only sample [10] as well as in male and female cortisol responders compared to non-responders </w:t>
      </w:r>
      <w:r w:rsidRPr="00C14DB6">
        <w:fldChar w:fldCharType="begin"/>
      </w:r>
      <w:r w:rsidRPr="00C14DB6">
        <w:instrText xml:space="preserve"> ADDIN ZOTERO_ITEM CSL_CITATION {"citationID":"pWOM0yIv","properties":{"formattedCitation":"[13]","plainCitation":"[13]","noteIndex":0},"citationItems":[{"id":495,"uris":["http://zotero.org/groups/4860232/items/3FF6I5XL"],"itemData":{"id":495,"type":"article-journal","abstract":"Stress-induced changes in functional brain connectivity have been linked to the etiology of stress-related disorders. Resting state functional connectivity (rsFC) is especially informative in characterizing the temporal trajectory of glucocorticoids during stress adaptation. Using the imaging Maastricht Acute Stress Test (iMAST), we induced acute stress in 39 healthy volunteers and monitored the neuroendocrine stress levels during three runs of resting state functional magnetic resonance imaging (rs-fMRI): before (run 1), immediately following (run 2), and 30min after acute stress (run 3). The iMAST resulted in strong increases in cortisol levels. Whole-brain analysis revealed that acute stress (run 2 - 1) was characterized by changes in connectivity of the amygdala with the ventrolateral prefrontal cortex (vlPFC), ventral posterior cingulate cortex (PCC), cuneus, parahippocampal gyrus, and culmen. Additionally, cortisol responders were characterized by enhanced amygdala - medial prefrontal cortex (mPFC) connectivity. Stress recovery (run 3 - 2) was characterized by altered amygdala connectivity with the dorsolateral prefrontal cortex (dlPFC), ventral and dorsal anterior cingulate cortex (ACC), anterior hippocampal complex, cuneus, and presupplementary motor area (preSMA). Opposite to non-responders, cortisol responders were characterized by enhanced amygdala connectivity with the anterior hippocampal complex and parahippocampal gyrus, and reduced connectivity with left dlPFC, dACC, and culmen during early recovery. Acute stress responding and recovery are thus associated with changes in the functional connectivity of the amygdala network. Our findings show that these changes may be regulated via stress-induced neuroendocrine levels. Defining stress-induced neuronal network changes is pertinent to developing treatments that target abnormal neuronal activity.","container-title":"PloS one","DOI":"10.1371/JOURNAL.PONE.0124141","ISSN":"1932-6203","issue":"5","note":"PMID: 25946334\npublisher: PLoS One","title":"Temporal dynamics of stress-induced alternations of intrinsic amygdala connectivity and neuroendocrine levels","URL":"https://pubmed.ncbi.nlm.nih.gov/25946334/","volume":"10","author":[{"family":"Quaedflieg","given":"C. W.E.M."},{"family":"Van De Ven","given":"V."},{"family":"Meyer","given":"T."},{"family":"Siep","given":"N."},{"family":"Merckelbach","given":"H."},{"family":"Smeets","given":"T."}],"accessed":{"date-parts":[["2022",2,17]]},"issued":{"date-parts":[["2015",5,6]]}}}],"schema":"https://github.com/citation-style-language/schema/raw/master/csl-citation.json"} </w:instrText>
      </w:r>
      <w:r w:rsidRPr="00C14DB6">
        <w:fldChar w:fldCharType="separate"/>
      </w:r>
      <w:r w:rsidRPr="00C14DB6">
        <w:t>[13]</w:t>
      </w:r>
      <w:r w:rsidRPr="00C14DB6">
        <w:fldChar w:fldCharType="end"/>
      </w:r>
      <w:r w:rsidRPr="00C14DB6">
        <w:t>, Quaedflieg and colleagues suggested that this points towards less effective stress coping, which fits to the framework of De Raedt and Hooley, as connectivity between the ventromedial frontal regions with the amygdala suggests less effective stress coping.</w:t>
      </w:r>
    </w:p>
    <w:p w14:paraId="40EDC6B9" w14:textId="77777777" w:rsidR="00B944B2" w:rsidRPr="00C14DB6" w:rsidRDefault="00B944B2" w:rsidP="00C14DB6">
      <w:pPr>
        <w:pStyle w:val="MDPI31text"/>
        <w:ind w:left="0"/>
      </w:pPr>
      <w:r w:rsidRPr="00C14DB6">
        <w:t xml:space="preserve">Taken together, achievement stress is subjectively perceived as more stressful than social exclusion, corroborated by increased anger, negative affect and (according to the circadian rhythm) a missing decrease in cortisol levels. Higher anger and lower positive affect is connected to a lower amygdala-vACC and higher amygdala-mPFC rsFC, showing an association between subjective parameters and amygdala-frontal coupling. </w:t>
      </w:r>
    </w:p>
    <w:p w14:paraId="7CED8C6F" w14:textId="0A5C0005" w:rsidR="00B944B2" w:rsidRPr="00C14DB6" w:rsidRDefault="00A5616E" w:rsidP="00C14DB6">
      <w:pPr>
        <w:pStyle w:val="MDPI22heading2"/>
        <w:spacing w:before="240"/>
        <w:ind w:left="0"/>
      </w:pPr>
      <w:r w:rsidRPr="00C14DB6">
        <w:t xml:space="preserve">4.3. </w:t>
      </w:r>
      <w:r w:rsidR="00B944B2" w:rsidRPr="00C14DB6">
        <w:t>Strengths, limitations and future directions</w:t>
      </w:r>
    </w:p>
    <w:p w14:paraId="40316760" w14:textId="77777777" w:rsidR="00B944B2" w:rsidRPr="00C14DB6" w:rsidRDefault="00B944B2" w:rsidP="00C14DB6">
      <w:pPr>
        <w:pStyle w:val="MDPI31text"/>
        <w:ind w:left="0"/>
      </w:pPr>
      <w:r w:rsidRPr="00C14DB6">
        <w:t xml:space="preserve">Within the current study we separately investigated two different stressors, namely social exclusion and achievement stress, in a within-subject design within the same individuals. We investigated rsFC before and after each of these stressors, enabling us to investigate changes of coupling between the amygdala and frontal regions due to social exclusion and achievement stress. As most studies on stress reactivity so far investigated male-only samples or did not investigate sex specific analyses in mixed samples, in the current study we not only included a fair amount of females and males but additionally specifically assessed sex differences in social exclusion and achievement stress as well as in rsFC. </w:t>
      </w:r>
    </w:p>
    <w:p w14:paraId="68696BBC" w14:textId="66151FA8" w:rsidR="007F0A90" w:rsidRPr="00C14DB6" w:rsidRDefault="00B944B2" w:rsidP="00C14DB6">
      <w:pPr>
        <w:pStyle w:val="MDPI31text"/>
        <w:ind w:left="0"/>
        <w:rPr>
          <w:lang w:val="en-GB"/>
        </w:rPr>
      </w:pPr>
      <w:r w:rsidRPr="00C14DB6">
        <w:t xml:space="preserve">Previous studies showed that menstrual cycle and hormonal contraceptive use affects stress reactivity and rsFC </w:t>
      </w:r>
      <w:r w:rsidRPr="00C14DB6">
        <w:fldChar w:fldCharType="begin"/>
      </w:r>
      <w:r w:rsidRPr="00C14DB6">
        <w:instrText xml:space="preserve"> ADDIN ZOTERO_ITEM CSL_CITATION {"citationID":"IjG5O4fF","properties":{"formattedCitation":"[61,62]","plainCitation":"[61,62]","noteIndex":0},"citationItems":[{"id":430,"uris":["http://zotero.org/groups/4860232/items/U8QC6X6G"],"itemData":{"id":430,"type":"article-journal","abstract":"Increasing evidence suggests that endogenous sex steroid changes affect human brain functional connectivity, which could be obtained by resting-state fMRI (RS-fMRI). Nevertheless, RS studies on the menstrual cycle (MC) are underrepresented and yield inconsistent results. We attribute these inconsistencies to the use of various methods in exploratory approaches and small sample sizes. Hormonal fluctuations along the MC likely elicit subtle changes that, however, may still have profound impact on network dynamics when affecting key brain nodes. To address these issues, we propose a ROI-based multimodal analysis approach focusing on areas of high functional relevance to adequately capture these changes. To that end, sixty naturally cycling women underwent RS-fMRI in three different cycle phases and we performed the following analyses: (1) group-independent component analyses to identify intrinsic connectivity networks, (2) eigenvector centrality (EC) as a measure of centrality in the global connectivity hierarchy, (3) amplitude of low-frequency fluctuations (ALFF) as a measure of oscillatory activity and (4) seed-based analyses to investigate functional connectivity from the ROIs. For (2)–(4), we applied a hypothesis-driven ROI approach in the hippocampus, caudate and putamen. In the luteal phase, we found (1) decreased intrinsic connectivity of the right angular gyrus with the default mode network, (2) heightened EC for the hippocampus, and (3) increased ALFF for the caudate. Furthermore, we observed (4) stronger putamen–thalamic connectivity during the luteal phase and stronger fronto-striatal connectivity during the pre-ovulatory phase. This hormonal modulation of connectivity dynamics may underlie behavioural, emotional and sensorimotor changes along the MC.","container-title":"Brain structure &amp; function","DOI":"10.1007/S00429-019-02019-Z","ISSN":"1863-2661","issue":"2","note":"PMID: 31894405\npublisher: Brain Struct Funct","page":"591-605","title":"Human menstrual cycle variation in subcortical functional brain connectivity: a multimodal analysis approach","volume":"225","author":[{"family":"Hidalgo-Lopez","given":"Esmeralda"},{"family":"Mueller","given":"Karsten"},{"family":"Harris","given":"Ti Anni"},{"family":"Aichhorn","given":"Markus"},{"family":"Sacher","given":"Julia"},{"family":"Pletzer","given":"Belinda"}],"issued":{"date-parts":[["2020",3,1]]}}},{"id":480,"uris":["http://zotero.org/groups/4860232/items/GBJGTXN5"],"itemData":{"id":480,"type":"article-journal","abstract":"Objective: Results from animal and human studies suggest that disregulations of the hypothalamus-pituitary-adrenal (HPA) axis are involved in several behavioral, circulatory, endocrine, and immune disorders with clear-cut gender differences in disease prevalence. The aim of the present study was to investigate sex-specific HPA response patterns with a focus on the contribution of gonadal steroids as possible mediators. Methods: A total of 81 healthy adults were investigated in the present study. Twenty men, 19 women in the follicular phase of the menstrual cycle, 21 women in the luteal phase, and 21 women using oral contraceptives (OC) were exposed to a brief psychosocial stress test (Trier Social Stress Test; TSST) and injected with 0.25 mg ACTH1-24 on consecutive days. Basal HPA activity was investigated by repeatedly measuring cortisol levels immediately after awakening, as well as in 30-minute intervals from 9:00 AM to 9:00 PM. Additionally, questionnaires were used to assess psychological state and trait parameters. Results: Results show that the TSST induced significant increases in ACTH, salivary-free cortisol, total plasma cortisol, and heart rates, as well as increased wakefulness and reduced calmness in the total group. Significant group differences emerged for ACTH and salivary-free cortisol stress responses: Although men showed higher ACTH responses to the TSST compared with each of the three groups of women, salivary cortisol responses showed the following response pattern: Luteal = Men &gt; Follicular = OC. The salivary cortisol responses to ACTH1-24 showed a similar response pattern: Luteal &gt; Men &gt; Follicular &gt; OC. In contrast, total blood cortisol levels did not reveal any group difference between sexes or follicular versus luteal phase in either test. Although a similar salivary-free cortisol increase after awakening was found in the four groups, the circadian cortisol profile was significantly different throughout the first 4 hours of sampling. Questionnaire-derived psychological variables, as measured in the present study, could not explain the observed results. Conclusions: We conclude that gender, menstrual cycle phase, and OC use exert important effects on HPA responsiveness to psychosocial stress in healthy subjects. Although men seem to have a stronger hypothalamic drive in response to stressful stimulation than women, differences in salivary-free cortisol levels, at least in part, may be explained by estradiol-induced changes in corticosteroid-binding protein levels. ACTH and cortisol secretion is not affected by OC use per se but the amount of bioavailable unbound cortisol ('free') is greatly reduced in this group of women after stimulation. Inasmuch as none of these differences between the study groups emerged in total blood cortisol levels, we strongly advocate for the simultaneous measurement of free and total cortisol levels in future studies on HPA functioning.","container-title":"Psychosomatic medicine","DOI":"10.1097/00006842-199903000-00006","ISSN":"0033-3174","issue":"2","note":"PMID: 10204967\npublisher: Psychosom Med","page":"154-162","title":"Impact of gender, menstrual cycle phase, and oral contraceptives on the activity of the hypothalamus-pituitary-adrenal axis","volume":"61","author":[{"family":"Kirschbaum","given":"Clemens"},{"family":"Kudielka","given":"Brigitte M."},{"family":"Gaab","given":"Jens"},{"family":"Schommer","given":"Nicole C."},{"family":"Hellhammer","given":"Dirk H."}],"issued":{"date-parts":[["1999"]]}}}],"schema":"https://github.com/citation-style-language/schema/raw/master/csl-citation.json"} </w:instrText>
      </w:r>
      <w:r w:rsidRPr="00C14DB6">
        <w:fldChar w:fldCharType="separate"/>
      </w:r>
      <w:r w:rsidRPr="00C14DB6">
        <w:t>[61,62]</w:t>
      </w:r>
      <w:r w:rsidRPr="00C14DB6">
        <w:fldChar w:fldCharType="end"/>
      </w:r>
      <w:r w:rsidRPr="00C14DB6">
        <w:t>, which should be considered in future studies. For the current study, the sample size was too small to additionally include menstrual cycle effects in the analyses.</w:t>
      </w:r>
      <w:r w:rsidR="008A6C9C" w:rsidRPr="00C14DB6">
        <w:t xml:space="preserve"> </w:t>
      </w:r>
      <w:bookmarkStart w:id="10" w:name="OLE_LINK3"/>
      <w:bookmarkStart w:id="11" w:name="OLE_LINK4"/>
      <w:r w:rsidR="00DF2A4D" w:rsidRPr="00C14DB6">
        <w:rPr>
          <w:rFonts w:cs="Arial"/>
          <w:color w:val="FF0000"/>
          <w:szCs w:val="20"/>
        </w:rPr>
        <w:t>However, as females had significantly higher values in negative stress coping strategies (see Table 2), we exploratorily performed a regression analysis to investigate whether menstrual cycle phase predicted negative stress coping strategies. The linear regression analysis with menstrual cycle phase as predictor (early follicular/ovulation/midluteal phase) and negative stress coping strategies as the dependent variable yielded no significant association between negative coping strategies and menstrual cycle phase (R</w:t>
      </w:r>
      <w:r w:rsidR="00DF2A4D" w:rsidRPr="00C14DB6">
        <w:rPr>
          <w:rFonts w:cs="Arial"/>
          <w:color w:val="FF0000"/>
          <w:szCs w:val="20"/>
          <w:vertAlign w:val="superscript"/>
        </w:rPr>
        <w:t>2</w:t>
      </w:r>
      <w:r w:rsidR="00DF2A4D" w:rsidRPr="00C14DB6">
        <w:rPr>
          <w:rFonts w:cs="Arial"/>
          <w:color w:val="FF0000"/>
          <w:szCs w:val="20"/>
        </w:rPr>
        <w:t>=0.059, F(1,38)=2.380, p=.131). Negative stress coping strategies reported by the females in this study therefore do not seem to be associated with their menstrual cycle phase.</w:t>
      </w:r>
    </w:p>
    <w:p w14:paraId="42579AD4" w14:textId="48844B54" w:rsidR="00B944B2" w:rsidRPr="00C14DB6" w:rsidRDefault="00B944B2" w:rsidP="00C14DB6">
      <w:pPr>
        <w:pStyle w:val="MDPI31text"/>
        <w:ind w:left="0"/>
      </w:pPr>
      <w:r w:rsidRPr="00C14DB6">
        <w:t>For reasons of homogeneity, the current sample was comprised of young university students. For generalisability of the results, and regarding stress-related mental disorders, future studies should assess more heterogenous samples including different education levels throughout the lifespan.</w:t>
      </w:r>
    </w:p>
    <w:p w14:paraId="164AC443" w14:textId="3AA0F4FE" w:rsidR="004F1291" w:rsidRPr="00C14DB6" w:rsidRDefault="004F1291" w:rsidP="00C14DB6">
      <w:pPr>
        <w:pStyle w:val="MDPI31text"/>
        <w:ind w:left="0"/>
      </w:pPr>
      <w:r w:rsidRPr="00C14DB6">
        <w:rPr>
          <w:lang w:val="en-GB"/>
        </w:rPr>
        <w:t xml:space="preserve">Further, for the current study we relied on rsFC between the amygdala and frontal regions as suggested in the neurocognitive framework for stress coping by De Raedt and Hooley to assess the impact of different stressors on neural stress-networks. However, as previous studies have shown that </w:t>
      </w:r>
      <w:r w:rsidR="00BE2765" w:rsidRPr="00C14DB6">
        <w:rPr>
          <w:lang w:val="en-GB"/>
        </w:rPr>
        <w:t xml:space="preserve">analyses of </w:t>
      </w:r>
      <w:r w:rsidRPr="00C14DB6">
        <w:rPr>
          <w:lang w:val="en-GB"/>
        </w:rPr>
        <w:t>amygdala connectivity on a whole brain or network level can also help to better understand the impact of stress and sex on rsFC</w:t>
      </w:r>
      <w:r w:rsidR="003A5A2C" w:rsidRPr="00C14DB6">
        <w:rPr>
          <w:lang w:val="en-GB"/>
        </w:rPr>
        <w:t xml:space="preserve"> </w:t>
      </w:r>
      <w:r w:rsidR="0056609F" w:rsidRPr="00C14DB6">
        <w:rPr>
          <w:lang w:val="en-GB"/>
        </w:rPr>
        <w:fldChar w:fldCharType="begin"/>
      </w:r>
      <w:r w:rsidR="0056609F" w:rsidRPr="00C14DB6">
        <w:rPr>
          <w:lang w:val="en-GB"/>
        </w:rPr>
        <w:instrText xml:space="preserve"> ADDIN ZOTERO_ITEM CSL_CITATION {"citationID":"prvGHle6","properties":{"formattedCitation":"[24,63]","plainCitation":"[24,63]","noteIndex":0},"citationItems":[{"id":828,"uris":["http://zotero.org/groups/4860232/items/9AY55SL2"],"itemData":{"id":828,"type":"article-journal","abstract":"Acute stress induces large-scale neural reorganization with relevance to stress-related psychopathology. Here, we applied a novel supervised machine learning method, combining the strengths of a priori theoretical insights with a data-driven approach, to identify which connectivity changes are most prominently associated with a state of acute stress and individual differences therein. Resting-state functional magnetic resonance imaging scans were taken from 334 healthy participants (79 females) before and after a formal stress induction. For each individual scan, mean time-series were extracted from 46 functional parcels of three major brain networks previously shown to be potentially sensitive to stress effects (default mode network (DMN), salience network (SN), and executive control networks). A data-driven approach was then used to obtain discriminative spatial linear filters that classified the pre- and post-stress scans. To assess potential relevance for understanding individual differences, probability of classification using the most discriminative filters was linked to individual cortisol stress responses. Our model correctly classified pre- versus post-stress states with highly significant accuracy (above 75%; leave-one-out validation relative to chance performance). Discrimination between pre- and post-stress states was mainly based on connectivity changes in regions from the SN and DMN, including the dorsal anterior cingulate cortex, amygdala, posterior cingulate cortex, and precuneus. Interestingly, the probability of classification using these connectivity changes were associated with individual cortisol increases. Our results confirm the involvement of DMN and SN using a data-driven approach, and specifically single out key regions that might receive additional attention in future studies for their relevance also for individual differences.","container-title":"Human Brain Mapping","DOI":"10.1002/hbm.25000","ISSN":"1097-0193","issue":"11","journalAbbreviation":"Hum Brain Mapp","language":"eng","note":"PMID: 32293072\nPMCID: PMC7336146","page":"3089-3099","source":"PubMed","title":"Discriminating stress from rest based on resting-state connectivity of the human brain: A supervised machine learning study","title-short":"Discriminating stress from rest based on resting-state connectivity of the human brain","volume":"41","author":[{"family":"Zhang","given":"Wei"},{"family":"Llera","given":"Alberto"},{"family":"Hashemi","given":"Mahur M."},{"family":"Kaldewaij","given":"Reinoud"},{"family":"Koch","given":"Saskia B. J."},{"family":"Beckmann","given":"Christian F."},{"family":"Klumpers","given":"Floris"},{"family":"Roelofs","given":"Karin"}],"issued":{"date-parts":[["2020",8,1]]}}},{"id":509,"uris":["http://zotero.org/groups/4860232/items/9F9UT7X4"],"itemData":{"id":509,"type":"article-journal","abstract":"Human amygdalae are involved in various behavioral functions such as affective and stress processing. For these behavioral functions, as well as for psychophysiological arousal including cortisol release, sex differences are reported.Here, we assessed cortisol levels and resting-state functional connectivity (rsFC) of left and right amygdalae in 81 healthy participants (42 women) to investigate potential modulation of amygdala rsFC by sex and cortisol concentration.Our analyses revealed that rsFC of the left amygdala significantly differed between women and men: Women showed stronger rsFC than men between the left amygdala and left middle temporal gyrus, inferior frontal gyrus, postcentral gyrus and hippocampus, regions involved in face processing, inner-speech, fear and pain processing. No stronger connections were detected for men and no sex difference emerged for right amygdala rsFC. Also, an interaction of sex and cortisol appeared: In women, cortisol was negatively associated with rsFC of the amygdalae with striatal regions, mid-orbital frontal gyrus, anterior cingulate gyrus, middle and superior frontal gyri, supplementary motor area and the parietal-occipital sulcus. Contrarily in men, positive associations of cortisol with rsFC of the left amygdala and these structures were observed. Functional decoding analyses revealed an association of the amygdalae and these regions with emotion, reward and memory processing, as well as action execution.Our results suggest that functional connectivity of the amygdalae as well as the regulatory effect of cortisol on brain networks differs between women and men. These sex-differences and the mediating and sex-dependent effect of cortisol on brain communication systems should be taken into account in affective and stress-related neuroimaging research. Thus, more studies including both sexes are required.","container-title":"NeuroImage","DOI":"10.1016/J.NEUROIMAGE.2016.03.064","ISSN":"1095-9572","note":"PMID: 27039701\npublisher: Neuroimage","page":"410-423","title":"Sex differences in the functional connectivity of the amygdalae in association with cortisol","volume":"134","author":[{"family":"Kogler","given":"Lydia"},{"family":"Müller","given":"Veronika I."},{"family":"Seidel","given":"Eva Maria"},{"family":"Boubela","given":"Roland"},{"family":"Kalcher","given":"Klaudius"},{"family":"Moser","given":"Ewald"},{"family":"Habel","given":"Ute"},{"family":"Gur","given":"Ruben C."},{"family":"Eickhoff","given":"Simon B."},{"family":"Derntl","given":"Birgit"}],"issued":{"date-parts":[["2016",7,1]]}}}],"schema":"https://github.com/citation-style-language/schema/raw/master/csl-citation.json"} </w:instrText>
      </w:r>
      <w:r w:rsidR="0056609F" w:rsidRPr="00C14DB6">
        <w:rPr>
          <w:lang w:val="en-GB"/>
        </w:rPr>
        <w:fldChar w:fldCharType="separate"/>
      </w:r>
      <w:r w:rsidR="0056609F" w:rsidRPr="00C14DB6">
        <w:rPr>
          <w:noProof/>
          <w:lang w:val="en-GB"/>
        </w:rPr>
        <w:t>[24,63]</w:t>
      </w:r>
      <w:r w:rsidR="0056609F" w:rsidRPr="00C14DB6">
        <w:rPr>
          <w:lang w:val="en-GB"/>
        </w:rPr>
        <w:fldChar w:fldCharType="end"/>
      </w:r>
      <w:r w:rsidR="00027AC3" w:rsidRPr="00C14DB6">
        <w:rPr>
          <w:lang w:val="en-GB"/>
        </w:rPr>
        <w:t>,</w:t>
      </w:r>
      <w:r w:rsidRPr="00C14DB6">
        <w:rPr>
          <w:lang w:val="en-GB"/>
        </w:rPr>
        <w:t xml:space="preserve"> it would be of additional interest for future studies to create whole brain functional connectivity maps for the amygdala and specifically investigate the impact of different stressors and sex differences on amygdala rsFC.</w:t>
      </w:r>
    </w:p>
    <w:p w14:paraId="35DB7F66" w14:textId="2B9846B5" w:rsidR="00B944B2" w:rsidRPr="00C14DB6" w:rsidRDefault="00B944B2" w:rsidP="00C14DB6">
      <w:pPr>
        <w:pStyle w:val="MDPI31text"/>
        <w:ind w:left="0"/>
      </w:pPr>
      <w:r w:rsidRPr="00C14DB6">
        <w:t xml:space="preserve">Finally, we want to acknowledge that we investigated sex differences and did not take gender into account. While sex is usually categorized into female and male, defined primarily on the basis of biological attributes, gender refers to the socially constructed identity of female, male and other gender-diverse people (SAGER guidelines, </w:t>
      </w:r>
      <w:r w:rsidRPr="00C14DB6">
        <w:fldChar w:fldCharType="begin"/>
      </w:r>
      <w:r w:rsidR="0056609F" w:rsidRPr="00C14DB6">
        <w:instrText xml:space="preserve"> ADDIN ZOTERO_ITEM CSL_CITATION {"citationID":"M01tJHUp","properties":{"formattedCitation":"[66]","plainCitation":"[66]","noteIndex":0},"citationItems":[{"id":782,"uris":["http://zotero.org/groups/4860232/items/NJMKJPQK"],"itemData":{"id":782,"type":"article-journal","abstract":"Background\nSex and gender differences are often overlooked in research design, study implementation and scientific reporting, as well as in general science communication. This oversight limits the generalizability of research findings and their applicability to clinical practice, in particular for women but also for men. This article describes the rationale for an international set of guidelines to encourage a more systematic approach to the reporting of sex and gender in research across disciplines.\n\nMethods\nA panel of 13 experts representing nine countries developed the guidelines through a series of teleconferences, conference presentations and a 2-day workshop. An internet survey of 716 journal editors, scientists and other members of the international publishing community was conducted as well as a literature search on sex and gender policies in scientific publishing.\n\nResults\nThe Sex and Gender Equity in Research (SAGER) guidelines are a comprehensive procedure for reporting of sex and gender information in study design, data analyses, results and interpretation of findings.\n\nConclusions\nThe SAGER guidelines are designed primarily to guide authors in preparing their manuscripts, but they are also useful for editors, as gatekeepers of science, to integrate assessment of sex and gender into all manuscripts as an integral part of the editorial process.","container-title":"Research Integrity and Peer Review","DOI":"10.1186/s41073-016-0007-6","ISSN":"2058-8615","journalAbbreviation":"Res Integr Peer Rev","note":"PMID: 29451543\nPMCID: PMC5793986","page":"2","source":"PubMed Central","title":"Sex and Gender Equity in Research: rationale for the SAGER guidelines and recommended use","title-short":"Sex and Gender Equity in Research","volume":"1","author":[{"family":"Heidari","given":"Shirin"},{"family":"Babor","given":"Thomas F."},{"family":"De Castro","given":"Paola"},{"family":"Tort","given":"Sera"},{"family":"Curno","given":"Mirjam"}],"issued":{"date-parts":[["2016",5,3]]}}}],"schema":"https://github.com/citation-style-language/schema/raw/master/csl-citation.json"} </w:instrText>
      </w:r>
      <w:r w:rsidRPr="00C14DB6">
        <w:fldChar w:fldCharType="separate"/>
      </w:r>
      <w:r w:rsidR="0056609F" w:rsidRPr="00C14DB6">
        <w:t>[6</w:t>
      </w:r>
      <w:r w:rsidR="001E09DA" w:rsidRPr="00C14DB6">
        <w:t>4</w:t>
      </w:r>
      <w:r w:rsidR="0056609F" w:rsidRPr="00C14DB6">
        <w:t>]</w:t>
      </w:r>
      <w:r w:rsidRPr="00C14DB6">
        <w:fldChar w:fldCharType="end"/>
      </w:r>
      <w:r w:rsidRPr="00C14DB6">
        <w:t xml:space="preserve">). It is of importance to include a higher gender diversity in studies to make them more broadly generalisable, as sex as well as gender, and their interaction (i.e., in transgender people), can have an influence on health and well-being in a variety of ways </w:t>
      </w:r>
      <w:r w:rsidRPr="00C14DB6">
        <w:fldChar w:fldCharType="begin"/>
      </w:r>
      <w:r w:rsidR="0056609F" w:rsidRPr="00C14DB6">
        <w:instrText xml:space="preserve"> ADDIN ZOTERO_ITEM CSL_CITATION {"citationID":"4UCszys4","properties":{"formattedCitation":"[66]","plainCitation":"[66]","noteIndex":0},"citationItems":[{"id":782,"uris":["http://zotero.org/groups/4860232/items/NJMKJPQK"],"itemData":{"id":782,"type":"article-journal","abstract":"Background\nSex and gender differences are often overlooked in research design, study implementation and scientific reporting, as well as in general science communication. This oversight limits the generalizability of research findings and their applicability to clinical practice, in particular for women but also for men. This article describes the rationale for an international set of guidelines to encourage a more systematic approach to the reporting of sex and gender in research across disciplines.\n\nMethods\nA panel of 13 experts representing nine countries developed the guidelines through a series of teleconferences, conference presentations and a 2-day workshop. An internet survey of 716 journal editors, scientists and other members of the international publishing community was conducted as well as a literature search on sex and gender policies in scientific publishing.\n\nResults\nThe Sex and Gender Equity in Research (SAGER) guidelines are a comprehensive procedure for reporting of sex and gender information in study design, data analyses, results and interpretation of findings.\n\nConclusions\nThe SAGER guidelines are designed primarily to guide authors in preparing their manuscripts, but they are also useful for editors, as gatekeepers of science, to integrate assessment of sex and gender into all manuscripts as an integral part of the editorial process.","container-title":"Research Integrity and Peer Review","DOI":"10.1186/s41073-016-0007-6","ISSN":"2058-8615","journalAbbreviation":"Res Integr Peer Rev","note":"PMID: 29451543\nPMCID: PMC5793986","page":"2","source":"PubMed Central","title":"Sex and Gender Equity in Research: rationale for the SAGER guidelines and recommended use","title-short":"Sex and Gender Equity in Research","volume":"1","author":[{"family":"Heidari","given":"Shirin"},{"family":"Babor","given":"Thomas F."},{"family":"De Castro","given":"Paola"},{"family":"Tort","given":"Sera"},{"family":"Curno","given":"Mirjam"}],"issued":{"date-parts":[["2016",5,3]]}}}],"schema":"https://github.com/citation-style-language/schema/raw/master/csl-citation.json"} </w:instrText>
      </w:r>
      <w:r w:rsidRPr="00C14DB6">
        <w:fldChar w:fldCharType="separate"/>
      </w:r>
      <w:r w:rsidR="0056609F" w:rsidRPr="00C14DB6">
        <w:t>[6</w:t>
      </w:r>
      <w:r w:rsidR="001E09DA" w:rsidRPr="00C14DB6">
        <w:t>4</w:t>
      </w:r>
      <w:r w:rsidR="0056609F" w:rsidRPr="00C14DB6">
        <w:t>]</w:t>
      </w:r>
      <w:r w:rsidRPr="00C14DB6">
        <w:fldChar w:fldCharType="end"/>
      </w:r>
      <w:r w:rsidRPr="00C14DB6">
        <w:t>.</w:t>
      </w:r>
      <w:bookmarkEnd w:id="10"/>
      <w:bookmarkEnd w:id="11"/>
    </w:p>
    <w:p w14:paraId="40B3315D" w14:textId="12B0AA72" w:rsidR="00B944B2" w:rsidRPr="00C14DB6" w:rsidRDefault="00A5616E" w:rsidP="00C14DB6">
      <w:pPr>
        <w:pStyle w:val="MDPI21heading1"/>
        <w:ind w:left="0"/>
      </w:pPr>
      <w:r w:rsidRPr="00C14DB6">
        <w:t xml:space="preserve">5. </w:t>
      </w:r>
      <w:r w:rsidR="00B944B2" w:rsidRPr="00C14DB6">
        <w:t>Conclusions</w:t>
      </w:r>
    </w:p>
    <w:p w14:paraId="3579974D" w14:textId="77777777" w:rsidR="00B944B2" w:rsidRPr="00C14DB6" w:rsidRDefault="00B944B2" w:rsidP="00C14DB6">
      <w:pPr>
        <w:pStyle w:val="MDPI31text"/>
        <w:ind w:left="0"/>
      </w:pPr>
      <w:r w:rsidRPr="00C14DB6">
        <w:t xml:space="preserve">With the current study, we set out to investigate the effect of sex and stressor-type on networks between the amygdala and frontal regions with rsFC, following a neurocognitive framework for stress coping with the assumption that the amygdala takes a crucial part in stress processing and interacts </w:t>
      </w:r>
      <w:r w:rsidRPr="00C14DB6">
        <w:lastRenderedPageBreak/>
        <w:t>with the frontal cortex in terms of stress coping. We observed significant sex differences in the amygdala-frontal network, seen in a higher rsFC of the amygdala with the vACC as well as with the mPFC for social exclusion in females than in males. This speaks for higher emotion and affect regulation in socially stressful situations in females compared to males, which might be attributed to higher social gain in females compared to males.</w:t>
      </w:r>
    </w:p>
    <w:p w14:paraId="7859A983" w14:textId="2C88F0EF" w:rsidR="00B944B2" w:rsidRPr="00C14DB6" w:rsidRDefault="00B944B2" w:rsidP="00C14DB6">
      <w:pPr>
        <w:pStyle w:val="MDPI31text"/>
        <w:ind w:left="0"/>
      </w:pPr>
      <w:r w:rsidRPr="00C14DB6">
        <w:t>Thus, socially stressful situations have a higher impact on neural stress-networks in females than in males and neural stress-networks seem to be modified for diverse stressors in a sex-specific manner. The current results depict neural basic principles of sex differences in differently stressful situations, where females are triggered more intensely by social situations and might see social interaction as more rewarding, but also more effortful in terms of engaging coping resources than males. From a translational perspective, the results represent neural basics of the interaction between sex and stressor on stress reaction and contribute to a better understanding of this interaction which affects sex-specific prevalence rates. This knowledge is important to understand stress-related mental disorders showing differences in prevalence rates for females and males. Understanding and disentangling sex differences in acute stressful situations might help to further discern long-term stress effects and their influence on mental disorders specified for females and males.</w:t>
      </w:r>
    </w:p>
    <w:p w14:paraId="22C8FE8D" w14:textId="7F73C4E8" w:rsidR="00B944B2" w:rsidRPr="00C14DB6" w:rsidRDefault="00A5616E" w:rsidP="00C14DB6">
      <w:pPr>
        <w:pStyle w:val="MDPI62BackMatter"/>
        <w:spacing w:before="240"/>
        <w:ind w:left="0"/>
      </w:pPr>
      <w:r w:rsidRPr="00C14DB6">
        <w:rPr>
          <w:b/>
        </w:rPr>
        <w:t>Author Contribution</w:t>
      </w:r>
      <w:r w:rsidR="00B944B2" w:rsidRPr="00C14DB6">
        <w:rPr>
          <w:b/>
        </w:rPr>
        <w:t xml:space="preserve">s: </w:t>
      </w:r>
      <w:r w:rsidR="00B944B2" w:rsidRPr="00C14DB6">
        <w:rPr>
          <w:bCs/>
        </w:rPr>
        <w:t>Zoé Bürger: Writing – original draft, Formal Analysis, Visualization; Veronika. I. Müller: Resources, Software, Writing – review &amp; editing; Felix Hoffstaedter; Resources, Software, Writing – review &amp; editing; Ute Habel: Conceptualization, Funding acquisition, Project administration, Writing – review &amp; editing; Ruben C. Gur: Conceptualization Funding acquisition, Writing – review &amp; editing; Christian Windischberger: Conceptualization Funding acquisition, Writing – review &amp; editing; Ewald Moser: Conceptualization, Funding acquisition, Investigation, Project administration, Writing – review &amp; editing; Birgit Derntl: Writing – review &amp; editing, Supervision, Conceptualization, Funding acquisition, Investigation, Project administration, Formal analysis; Lydia Kogler: Writing – review &amp; editing, Supervision, Data curation, Formal analysis, Validation</w:t>
      </w:r>
    </w:p>
    <w:p w14:paraId="13DA39B9" w14:textId="77777777" w:rsidR="00B944B2" w:rsidRPr="00C14DB6" w:rsidRDefault="00B944B2" w:rsidP="00C14DB6">
      <w:pPr>
        <w:pStyle w:val="MDPI62BackMatter"/>
        <w:ind w:left="0"/>
      </w:pPr>
      <w:r w:rsidRPr="00C14DB6">
        <w:rPr>
          <w:b/>
        </w:rPr>
        <w:t>Funding:</w:t>
      </w:r>
      <w:r w:rsidRPr="00C14DB6">
        <w:t xml:space="preserve"> This research was funded by: Luxembourg National Research Fund (FNR, Project code 13568859 [ZB]); Austrian Science Fund (FWF Project P-23533 [EM, CW, RCG, UH, BD]; DFG 2319/6-1 [3211356270] [BD, UH].</w:t>
      </w:r>
    </w:p>
    <w:p w14:paraId="35E52129" w14:textId="77777777" w:rsidR="00B944B2" w:rsidRPr="00C14DB6" w:rsidRDefault="00B944B2" w:rsidP="00C14DB6">
      <w:pPr>
        <w:pStyle w:val="MDPI62BackMatter"/>
        <w:ind w:left="0"/>
      </w:pPr>
      <w:bookmarkStart w:id="12" w:name="_Hlk89945590"/>
      <w:bookmarkStart w:id="13" w:name="_Hlk60054323"/>
      <w:r w:rsidRPr="00C14DB6">
        <w:rPr>
          <w:b/>
        </w:rPr>
        <w:t xml:space="preserve">Institutional Review Board Statement: </w:t>
      </w:r>
      <w:r w:rsidRPr="00C14DB6">
        <w:t xml:space="preserve">The study was conducted in accordance with the Declaration of Helsinki, and approved by the </w:t>
      </w:r>
      <w:r w:rsidRPr="00C14DB6">
        <w:rPr>
          <w:iCs/>
        </w:rPr>
        <w:t>Institutional Review Board of the Medical University of Vienna</w:t>
      </w:r>
      <w:r w:rsidRPr="00C14DB6">
        <w:t xml:space="preserve"> (Project code: 2011/1134, approved in 2011).</w:t>
      </w:r>
    </w:p>
    <w:bookmarkEnd w:id="12"/>
    <w:p w14:paraId="593E4D0A" w14:textId="388C0C1C" w:rsidR="00B944B2" w:rsidRPr="00C14DB6" w:rsidRDefault="00B944B2" w:rsidP="00C14DB6">
      <w:pPr>
        <w:pStyle w:val="MDPI62BackMatter"/>
        <w:ind w:left="0"/>
      </w:pPr>
      <w:r w:rsidRPr="00C14DB6">
        <w:rPr>
          <w:b/>
        </w:rPr>
        <w:t xml:space="preserve">Informed Consent Statement: </w:t>
      </w:r>
      <w:r w:rsidRPr="00C14DB6">
        <w:t>Informed consent was obtained from all subjects involved in the study.</w:t>
      </w:r>
    </w:p>
    <w:p w14:paraId="461E6A99" w14:textId="77777777" w:rsidR="00B944B2" w:rsidRPr="00C14DB6" w:rsidRDefault="00B944B2" w:rsidP="00C14DB6">
      <w:pPr>
        <w:pStyle w:val="MDPI62BackMatter"/>
        <w:ind w:left="0"/>
      </w:pPr>
      <w:r w:rsidRPr="00C14DB6">
        <w:rPr>
          <w:b/>
        </w:rPr>
        <w:t xml:space="preserve">Data Availability Statement: </w:t>
      </w:r>
      <w:r w:rsidRPr="00C14DB6">
        <w:t xml:space="preserve">The data presented in this study are available on request from the corresponding author. The data are not publicly available due to missing consent forms for public data sharing. </w:t>
      </w:r>
    </w:p>
    <w:p w14:paraId="17EC53FD" w14:textId="234423C6" w:rsidR="00B944B2" w:rsidRPr="00C14DB6" w:rsidRDefault="00B944B2" w:rsidP="00C14DB6">
      <w:pPr>
        <w:pStyle w:val="MDPI62BackMatter"/>
        <w:ind w:left="0"/>
      </w:pPr>
      <w:r w:rsidRPr="00C14DB6">
        <w:rPr>
          <w:b/>
          <w:bCs/>
        </w:rPr>
        <w:t>Pre-Print:</w:t>
      </w:r>
      <w:r w:rsidRPr="00C14DB6">
        <w:rPr>
          <w:b/>
        </w:rPr>
        <w:t xml:space="preserve"> </w:t>
      </w:r>
      <w:r w:rsidRPr="00C14DB6">
        <w:t xml:space="preserve">A pre-print of this manuscript has been uploaded on SSRN, see Bürger, Zoé and Müller, Veronika I. and Hoffstaedter, Felix and Habel, Ute and Gur, Ruben C. and Windischberger, Christian and Moser, Ewald and Derntl, Birgit and Kogler, Lydia, </w:t>
      </w:r>
      <w:r w:rsidRPr="00C14DB6">
        <w:rPr>
          <w:i/>
          <w:iCs/>
        </w:rPr>
        <w:t>Stressor-Specific Sex Differences in Amygdala-Frontal Cortex Networks</w:t>
      </w:r>
      <w:r w:rsidRPr="00C14DB6">
        <w:t>. Available at SSRN:</w:t>
      </w:r>
      <w:r w:rsidR="00C33999" w:rsidRPr="00C14DB6">
        <w:t xml:space="preserve"> </w:t>
      </w:r>
      <w:hyperlink r:id="rId14" w:tgtFrame="_blank" w:history="1">
        <w:r w:rsidRPr="00C14DB6">
          <w:rPr>
            <w:rStyle w:val="Hyperlink"/>
            <w:color w:val="auto"/>
            <w:u w:val="none"/>
          </w:rPr>
          <w:t>https://ssrn.com/abstract=4134211</w:t>
        </w:r>
      </w:hyperlink>
      <w:r w:rsidR="00C33999" w:rsidRPr="00C14DB6">
        <w:rPr>
          <w:color w:val="auto"/>
        </w:rPr>
        <w:t xml:space="preserve"> </w:t>
      </w:r>
      <w:r w:rsidRPr="00C14DB6">
        <w:rPr>
          <w:color w:val="auto"/>
        </w:rPr>
        <w:t>or</w:t>
      </w:r>
      <w:r w:rsidR="00C33999" w:rsidRPr="00C14DB6">
        <w:rPr>
          <w:color w:val="auto"/>
        </w:rPr>
        <w:t xml:space="preserve"> </w:t>
      </w:r>
      <w:hyperlink r:id="rId15" w:tgtFrame="_blank" w:history="1">
        <w:r w:rsidRPr="00C14DB6">
          <w:rPr>
            <w:rStyle w:val="Hyperlink"/>
            <w:color w:val="auto"/>
            <w:u w:val="none"/>
          </w:rPr>
          <w:t>http://dx.doi.org/10.2139/ssrn.4134211</w:t>
        </w:r>
      </w:hyperlink>
    </w:p>
    <w:bookmarkEnd w:id="13"/>
    <w:p w14:paraId="605ED3AB" w14:textId="77777777" w:rsidR="00B944B2" w:rsidRPr="00C14DB6" w:rsidRDefault="00B944B2" w:rsidP="00C14DB6">
      <w:pPr>
        <w:pStyle w:val="MDPI62BackMatter"/>
        <w:ind w:left="0"/>
      </w:pPr>
      <w:r w:rsidRPr="00C14DB6">
        <w:rPr>
          <w:b/>
        </w:rPr>
        <w:t>Acknowledgments:</w:t>
      </w:r>
      <w:r w:rsidRPr="00C14DB6">
        <w:t xml:space="preserve"> We thank Dr. Eva-Maria Wirth, Dr. Klaudius Kalcher, and Dr. Roland Boubela in support for data assessment and Erola Pons for her insightful comments on the manuscript.</w:t>
      </w:r>
    </w:p>
    <w:p w14:paraId="4C33374D" w14:textId="7BACA453" w:rsidR="00B944B2" w:rsidRPr="00C14DB6" w:rsidRDefault="00B944B2" w:rsidP="00C14DB6">
      <w:pPr>
        <w:pStyle w:val="MDPI62BackMatter"/>
        <w:ind w:left="0"/>
      </w:pPr>
      <w:r w:rsidRPr="00C14DB6">
        <w:rPr>
          <w:b/>
        </w:rPr>
        <w:t xml:space="preserve">Conflicts of Interest: </w:t>
      </w:r>
      <w:r w:rsidRPr="00C14DB6">
        <w:t>The authors declare no conflict of interest. The funders had no role in the design of the study; in the collection, analyses, or interpretation of data; in the writing of the manuscript; or in the decision to publish the results.</w:t>
      </w:r>
    </w:p>
    <w:p w14:paraId="63DD52E5" w14:textId="77777777" w:rsidR="00B944B2" w:rsidRPr="00C14DB6" w:rsidRDefault="00B944B2" w:rsidP="00C14DB6">
      <w:pPr>
        <w:pStyle w:val="MDPI62BackMatter"/>
        <w:ind w:left="0"/>
        <w:rPr>
          <w:b/>
          <w:sz w:val="20"/>
        </w:rPr>
      </w:pPr>
      <w:r w:rsidRPr="00C14DB6">
        <w:rPr>
          <w:b/>
          <w:sz w:val="20"/>
        </w:rPr>
        <w:t>Appendix A</w:t>
      </w:r>
    </w:p>
    <w:p w14:paraId="3CC217CC" w14:textId="55477E1E" w:rsidR="00B944B2" w:rsidRPr="00C14DB6" w:rsidRDefault="00A5616E" w:rsidP="00C14DB6">
      <w:pPr>
        <w:pStyle w:val="MDPI41tablecaption"/>
        <w:ind w:left="0"/>
      </w:pPr>
      <w:r w:rsidRPr="00C14DB6">
        <w:rPr>
          <w:b/>
        </w:rPr>
        <w:t xml:space="preserve">Table A1. </w:t>
      </w:r>
      <w:r w:rsidR="00B944B2" w:rsidRPr="00C14DB6">
        <w:t>Hormonal levels and subjective ratings pre- and post-stress.</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878"/>
        <w:gridCol w:w="745"/>
        <w:gridCol w:w="746"/>
        <w:gridCol w:w="745"/>
        <w:gridCol w:w="747"/>
        <w:gridCol w:w="746"/>
        <w:gridCol w:w="745"/>
        <w:gridCol w:w="746"/>
        <w:gridCol w:w="741"/>
        <w:gridCol w:w="18"/>
      </w:tblGrid>
      <w:tr w:rsidR="00B944B2" w:rsidRPr="00C14DB6" w14:paraId="2CCCCD51" w14:textId="77777777" w:rsidTr="00C14DB6">
        <w:trPr>
          <w:gridAfter w:val="1"/>
          <w:wAfter w:w="18" w:type="dxa"/>
        </w:trPr>
        <w:tc>
          <w:tcPr>
            <w:tcW w:w="1878" w:type="dxa"/>
            <w:tcBorders>
              <w:top w:val="single" w:sz="8" w:space="0" w:color="auto"/>
              <w:bottom w:val="nil"/>
              <w:right w:val="nil"/>
            </w:tcBorders>
            <w:shd w:val="clear" w:color="auto" w:fill="auto"/>
            <w:vAlign w:val="center"/>
          </w:tcPr>
          <w:p w14:paraId="7D17C991" w14:textId="77777777" w:rsidR="00B944B2" w:rsidRPr="00C14DB6" w:rsidRDefault="00B944B2" w:rsidP="00C14DB6">
            <w:pPr>
              <w:pStyle w:val="MDPI42tablebody"/>
              <w:autoSpaceDE w:val="0"/>
              <w:autoSpaceDN w:val="0"/>
              <w:rPr>
                <w:b/>
                <w:snapToGrid/>
                <w:sz w:val="18"/>
                <w:szCs w:val="18"/>
              </w:rPr>
            </w:pPr>
          </w:p>
        </w:tc>
        <w:tc>
          <w:tcPr>
            <w:tcW w:w="2983" w:type="dxa"/>
            <w:gridSpan w:val="4"/>
            <w:tcBorders>
              <w:top w:val="single" w:sz="8" w:space="0" w:color="auto"/>
              <w:left w:val="nil"/>
              <w:bottom w:val="single" w:sz="4" w:space="0" w:color="auto"/>
              <w:right w:val="nil"/>
            </w:tcBorders>
            <w:shd w:val="clear" w:color="auto" w:fill="auto"/>
            <w:vAlign w:val="center"/>
          </w:tcPr>
          <w:p w14:paraId="149CC56D"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Social exclusion</w:t>
            </w:r>
          </w:p>
        </w:tc>
        <w:tc>
          <w:tcPr>
            <w:tcW w:w="2978" w:type="dxa"/>
            <w:gridSpan w:val="4"/>
            <w:tcBorders>
              <w:top w:val="single" w:sz="8" w:space="0" w:color="auto"/>
              <w:left w:val="nil"/>
              <w:bottom w:val="single" w:sz="4" w:space="0" w:color="auto"/>
            </w:tcBorders>
            <w:shd w:val="clear" w:color="auto" w:fill="auto"/>
            <w:vAlign w:val="center"/>
          </w:tcPr>
          <w:p w14:paraId="5D4EA2EA"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Achievement stress</w:t>
            </w:r>
          </w:p>
        </w:tc>
      </w:tr>
      <w:tr w:rsidR="00B944B2" w:rsidRPr="00C14DB6" w14:paraId="5EEECCC8" w14:textId="77777777" w:rsidTr="00C14DB6">
        <w:trPr>
          <w:gridAfter w:val="1"/>
          <w:wAfter w:w="18" w:type="dxa"/>
        </w:trPr>
        <w:tc>
          <w:tcPr>
            <w:tcW w:w="1878" w:type="dxa"/>
            <w:tcBorders>
              <w:top w:val="nil"/>
              <w:bottom w:val="nil"/>
              <w:right w:val="nil"/>
            </w:tcBorders>
            <w:shd w:val="clear" w:color="auto" w:fill="auto"/>
            <w:vAlign w:val="center"/>
          </w:tcPr>
          <w:p w14:paraId="47ED5BE4" w14:textId="77777777" w:rsidR="00B944B2" w:rsidRPr="00C14DB6" w:rsidRDefault="00B944B2" w:rsidP="00C14DB6">
            <w:pPr>
              <w:pStyle w:val="MDPI42tablebody"/>
              <w:autoSpaceDE w:val="0"/>
              <w:autoSpaceDN w:val="0"/>
              <w:rPr>
                <w:b/>
                <w:snapToGrid/>
                <w:sz w:val="18"/>
                <w:szCs w:val="18"/>
              </w:rPr>
            </w:pPr>
          </w:p>
        </w:tc>
        <w:tc>
          <w:tcPr>
            <w:tcW w:w="1491" w:type="dxa"/>
            <w:gridSpan w:val="2"/>
            <w:tcBorders>
              <w:left w:val="nil"/>
              <w:bottom w:val="single" w:sz="4" w:space="0" w:color="auto"/>
              <w:right w:val="nil"/>
            </w:tcBorders>
            <w:shd w:val="clear" w:color="auto" w:fill="auto"/>
            <w:vAlign w:val="center"/>
          </w:tcPr>
          <w:p w14:paraId="77EB0DE5"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Females (n=40)</w:t>
            </w:r>
          </w:p>
        </w:tc>
        <w:tc>
          <w:tcPr>
            <w:tcW w:w="1492" w:type="dxa"/>
            <w:gridSpan w:val="2"/>
            <w:tcBorders>
              <w:left w:val="nil"/>
              <w:bottom w:val="single" w:sz="4" w:space="0" w:color="auto"/>
              <w:right w:val="nil"/>
            </w:tcBorders>
            <w:shd w:val="clear" w:color="auto" w:fill="auto"/>
            <w:vAlign w:val="center"/>
          </w:tcPr>
          <w:p w14:paraId="0F8102C1"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Males (n=33)</w:t>
            </w:r>
          </w:p>
        </w:tc>
        <w:tc>
          <w:tcPr>
            <w:tcW w:w="1491" w:type="dxa"/>
            <w:gridSpan w:val="2"/>
            <w:tcBorders>
              <w:left w:val="nil"/>
              <w:bottom w:val="single" w:sz="4" w:space="0" w:color="auto"/>
              <w:right w:val="nil"/>
            </w:tcBorders>
            <w:shd w:val="clear" w:color="auto" w:fill="auto"/>
            <w:vAlign w:val="center"/>
          </w:tcPr>
          <w:p w14:paraId="635363A1"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Females (n=40)</w:t>
            </w:r>
          </w:p>
        </w:tc>
        <w:tc>
          <w:tcPr>
            <w:tcW w:w="1487" w:type="dxa"/>
            <w:gridSpan w:val="2"/>
            <w:tcBorders>
              <w:left w:val="nil"/>
              <w:bottom w:val="single" w:sz="4" w:space="0" w:color="auto"/>
            </w:tcBorders>
            <w:shd w:val="clear" w:color="auto" w:fill="auto"/>
            <w:vAlign w:val="center"/>
          </w:tcPr>
          <w:p w14:paraId="1121F633"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Males (n=33)</w:t>
            </w:r>
          </w:p>
        </w:tc>
      </w:tr>
      <w:tr w:rsidR="00B944B2" w:rsidRPr="00C14DB6" w14:paraId="3B2CE651" w14:textId="77777777" w:rsidTr="00C14DB6">
        <w:tc>
          <w:tcPr>
            <w:tcW w:w="1878" w:type="dxa"/>
            <w:tcBorders>
              <w:top w:val="nil"/>
              <w:bottom w:val="single" w:sz="4" w:space="0" w:color="auto"/>
              <w:right w:val="nil"/>
            </w:tcBorders>
            <w:shd w:val="clear" w:color="auto" w:fill="auto"/>
            <w:vAlign w:val="center"/>
          </w:tcPr>
          <w:p w14:paraId="0A32EEB9" w14:textId="77777777" w:rsidR="00B944B2" w:rsidRPr="00C14DB6" w:rsidRDefault="00B944B2" w:rsidP="00C14DB6">
            <w:pPr>
              <w:pStyle w:val="MDPI42tablebody"/>
              <w:autoSpaceDE w:val="0"/>
              <w:autoSpaceDN w:val="0"/>
              <w:rPr>
                <w:b/>
                <w:snapToGrid/>
                <w:sz w:val="18"/>
                <w:szCs w:val="18"/>
              </w:rPr>
            </w:pPr>
          </w:p>
        </w:tc>
        <w:tc>
          <w:tcPr>
            <w:tcW w:w="745" w:type="dxa"/>
            <w:tcBorders>
              <w:left w:val="nil"/>
              <w:bottom w:val="single" w:sz="4" w:space="0" w:color="auto"/>
              <w:right w:val="nil"/>
            </w:tcBorders>
            <w:shd w:val="clear" w:color="auto" w:fill="auto"/>
            <w:vAlign w:val="center"/>
          </w:tcPr>
          <w:p w14:paraId="5EFCEF6B"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Mean</w:t>
            </w:r>
          </w:p>
        </w:tc>
        <w:tc>
          <w:tcPr>
            <w:tcW w:w="746" w:type="dxa"/>
            <w:tcBorders>
              <w:left w:val="nil"/>
              <w:bottom w:val="single" w:sz="4" w:space="0" w:color="auto"/>
              <w:right w:val="nil"/>
            </w:tcBorders>
            <w:shd w:val="clear" w:color="auto" w:fill="auto"/>
            <w:vAlign w:val="center"/>
          </w:tcPr>
          <w:p w14:paraId="2879CF43"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SD</w:t>
            </w:r>
          </w:p>
        </w:tc>
        <w:tc>
          <w:tcPr>
            <w:tcW w:w="745" w:type="dxa"/>
            <w:tcBorders>
              <w:left w:val="nil"/>
              <w:bottom w:val="single" w:sz="4" w:space="0" w:color="auto"/>
              <w:right w:val="nil"/>
            </w:tcBorders>
            <w:shd w:val="clear" w:color="auto" w:fill="auto"/>
            <w:vAlign w:val="center"/>
          </w:tcPr>
          <w:p w14:paraId="64110CB0"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Mean</w:t>
            </w:r>
          </w:p>
        </w:tc>
        <w:tc>
          <w:tcPr>
            <w:tcW w:w="747" w:type="dxa"/>
            <w:tcBorders>
              <w:left w:val="nil"/>
              <w:bottom w:val="single" w:sz="4" w:space="0" w:color="auto"/>
              <w:right w:val="nil"/>
            </w:tcBorders>
            <w:shd w:val="clear" w:color="auto" w:fill="auto"/>
            <w:vAlign w:val="center"/>
          </w:tcPr>
          <w:p w14:paraId="7D20A37C"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SD</w:t>
            </w:r>
          </w:p>
        </w:tc>
        <w:tc>
          <w:tcPr>
            <w:tcW w:w="746" w:type="dxa"/>
            <w:tcBorders>
              <w:left w:val="nil"/>
              <w:bottom w:val="single" w:sz="4" w:space="0" w:color="auto"/>
              <w:right w:val="nil"/>
            </w:tcBorders>
            <w:shd w:val="clear" w:color="auto" w:fill="auto"/>
            <w:vAlign w:val="center"/>
          </w:tcPr>
          <w:p w14:paraId="682CCD4C"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Mean</w:t>
            </w:r>
          </w:p>
        </w:tc>
        <w:tc>
          <w:tcPr>
            <w:tcW w:w="745" w:type="dxa"/>
            <w:tcBorders>
              <w:left w:val="nil"/>
              <w:bottom w:val="single" w:sz="4" w:space="0" w:color="auto"/>
              <w:right w:val="nil"/>
            </w:tcBorders>
            <w:shd w:val="clear" w:color="auto" w:fill="auto"/>
            <w:vAlign w:val="center"/>
          </w:tcPr>
          <w:p w14:paraId="19CCC330"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SD</w:t>
            </w:r>
          </w:p>
        </w:tc>
        <w:tc>
          <w:tcPr>
            <w:tcW w:w="746" w:type="dxa"/>
            <w:tcBorders>
              <w:left w:val="nil"/>
              <w:bottom w:val="single" w:sz="4" w:space="0" w:color="auto"/>
              <w:right w:val="nil"/>
            </w:tcBorders>
            <w:shd w:val="clear" w:color="auto" w:fill="auto"/>
            <w:vAlign w:val="center"/>
          </w:tcPr>
          <w:p w14:paraId="5F68D576"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Mean</w:t>
            </w:r>
          </w:p>
        </w:tc>
        <w:tc>
          <w:tcPr>
            <w:tcW w:w="759" w:type="dxa"/>
            <w:gridSpan w:val="2"/>
            <w:tcBorders>
              <w:left w:val="nil"/>
              <w:bottom w:val="single" w:sz="4" w:space="0" w:color="auto"/>
            </w:tcBorders>
            <w:shd w:val="clear" w:color="auto" w:fill="auto"/>
            <w:vAlign w:val="center"/>
          </w:tcPr>
          <w:p w14:paraId="53D20594" w14:textId="77777777" w:rsidR="00B944B2" w:rsidRPr="00C14DB6" w:rsidRDefault="00B944B2" w:rsidP="00C14DB6">
            <w:pPr>
              <w:pStyle w:val="MDPI42tablebody"/>
              <w:autoSpaceDE w:val="0"/>
              <w:autoSpaceDN w:val="0"/>
              <w:rPr>
                <w:b/>
                <w:snapToGrid/>
                <w:sz w:val="18"/>
                <w:szCs w:val="18"/>
              </w:rPr>
            </w:pPr>
            <w:r w:rsidRPr="00C14DB6">
              <w:rPr>
                <w:b/>
                <w:snapToGrid/>
                <w:sz w:val="18"/>
                <w:szCs w:val="18"/>
              </w:rPr>
              <w:t>SD</w:t>
            </w:r>
          </w:p>
        </w:tc>
      </w:tr>
      <w:tr w:rsidR="00B944B2" w:rsidRPr="00C14DB6" w14:paraId="10A64D94" w14:textId="77777777" w:rsidTr="00C14DB6">
        <w:tc>
          <w:tcPr>
            <w:tcW w:w="1878" w:type="dxa"/>
            <w:tcBorders>
              <w:right w:val="nil"/>
            </w:tcBorders>
            <w:shd w:val="clear" w:color="auto" w:fill="auto"/>
            <w:vAlign w:val="center"/>
          </w:tcPr>
          <w:p w14:paraId="448C8C50" w14:textId="77777777" w:rsidR="00B944B2" w:rsidRPr="00C14DB6" w:rsidRDefault="00B944B2" w:rsidP="00C14DB6">
            <w:pPr>
              <w:pStyle w:val="MDPI42tablebody"/>
              <w:autoSpaceDE w:val="0"/>
              <w:autoSpaceDN w:val="0"/>
              <w:rPr>
                <w:sz w:val="18"/>
                <w:szCs w:val="18"/>
              </w:rPr>
            </w:pPr>
            <w:r w:rsidRPr="00C14DB6">
              <w:rPr>
                <w:sz w:val="18"/>
                <w:szCs w:val="18"/>
                <w:u w:val="single"/>
              </w:rPr>
              <w:t>Cortisol [pg/mL]</w:t>
            </w:r>
          </w:p>
        </w:tc>
        <w:tc>
          <w:tcPr>
            <w:tcW w:w="745" w:type="dxa"/>
            <w:tcBorders>
              <w:left w:val="nil"/>
              <w:right w:val="nil"/>
            </w:tcBorders>
            <w:shd w:val="clear" w:color="auto" w:fill="auto"/>
            <w:vAlign w:val="center"/>
          </w:tcPr>
          <w:p w14:paraId="5EEFBF90"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2E94E3BC" w14:textId="77777777" w:rsidR="00B944B2" w:rsidRPr="00C14DB6" w:rsidRDefault="00B944B2" w:rsidP="00C14DB6">
            <w:pPr>
              <w:pStyle w:val="MDPI42tablebody"/>
              <w:autoSpaceDE w:val="0"/>
              <w:autoSpaceDN w:val="0"/>
              <w:rPr>
                <w:sz w:val="18"/>
                <w:szCs w:val="18"/>
              </w:rPr>
            </w:pPr>
          </w:p>
        </w:tc>
        <w:tc>
          <w:tcPr>
            <w:tcW w:w="745" w:type="dxa"/>
            <w:tcBorders>
              <w:left w:val="nil"/>
              <w:right w:val="nil"/>
            </w:tcBorders>
            <w:shd w:val="clear" w:color="auto" w:fill="auto"/>
            <w:vAlign w:val="center"/>
          </w:tcPr>
          <w:p w14:paraId="20F176C5" w14:textId="77777777" w:rsidR="00B944B2" w:rsidRPr="00C14DB6" w:rsidRDefault="00B944B2" w:rsidP="00C14DB6">
            <w:pPr>
              <w:pStyle w:val="MDPI42tablebody"/>
              <w:autoSpaceDE w:val="0"/>
              <w:autoSpaceDN w:val="0"/>
              <w:rPr>
                <w:sz w:val="18"/>
                <w:szCs w:val="18"/>
              </w:rPr>
            </w:pPr>
          </w:p>
        </w:tc>
        <w:tc>
          <w:tcPr>
            <w:tcW w:w="747" w:type="dxa"/>
            <w:tcBorders>
              <w:left w:val="nil"/>
              <w:right w:val="nil"/>
            </w:tcBorders>
            <w:shd w:val="clear" w:color="auto" w:fill="auto"/>
            <w:vAlign w:val="center"/>
          </w:tcPr>
          <w:p w14:paraId="6A662461"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6B8E7BA5" w14:textId="77777777" w:rsidR="00B944B2" w:rsidRPr="00C14DB6" w:rsidRDefault="00B944B2" w:rsidP="00C14DB6">
            <w:pPr>
              <w:pStyle w:val="MDPI42tablebody"/>
              <w:autoSpaceDE w:val="0"/>
              <w:autoSpaceDN w:val="0"/>
              <w:rPr>
                <w:sz w:val="18"/>
                <w:szCs w:val="18"/>
              </w:rPr>
            </w:pPr>
          </w:p>
        </w:tc>
        <w:tc>
          <w:tcPr>
            <w:tcW w:w="745" w:type="dxa"/>
            <w:tcBorders>
              <w:left w:val="nil"/>
              <w:right w:val="nil"/>
            </w:tcBorders>
            <w:shd w:val="clear" w:color="auto" w:fill="auto"/>
            <w:vAlign w:val="center"/>
          </w:tcPr>
          <w:p w14:paraId="542A640C"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794D0AFB" w14:textId="77777777" w:rsidR="00B944B2" w:rsidRPr="00C14DB6" w:rsidRDefault="00B944B2" w:rsidP="00C14DB6">
            <w:pPr>
              <w:pStyle w:val="MDPI42tablebody"/>
              <w:autoSpaceDE w:val="0"/>
              <w:autoSpaceDN w:val="0"/>
              <w:rPr>
                <w:sz w:val="18"/>
                <w:szCs w:val="18"/>
              </w:rPr>
            </w:pPr>
          </w:p>
        </w:tc>
        <w:tc>
          <w:tcPr>
            <w:tcW w:w="759" w:type="dxa"/>
            <w:gridSpan w:val="2"/>
            <w:tcBorders>
              <w:left w:val="nil"/>
            </w:tcBorders>
            <w:shd w:val="clear" w:color="auto" w:fill="auto"/>
            <w:vAlign w:val="center"/>
          </w:tcPr>
          <w:p w14:paraId="1BAB2B3C" w14:textId="77777777" w:rsidR="00B944B2" w:rsidRPr="00C14DB6" w:rsidRDefault="00B944B2" w:rsidP="00C14DB6">
            <w:pPr>
              <w:pStyle w:val="MDPI42tablebody"/>
              <w:autoSpaceDE w:val="0"/>
              <w:autoSpaceDN w:val="0"/>
              <w:rPr>
                <w:sz w:val="18"/>
                <w:szCs w:val="18"/>
              </w:rPr>
            </w:pPr>
          </w:p>
        </w:tc>
      </w:tr>
      <w:tr w:rsidR="00B944B2" w:rsidRPr="00C14DB6" w14:paraId="4CA5D410" w14:textId="77777777" w:rsidTr="00C14DB6">
        <w:tc>
          <w:tcPr>
            <w:tcW w:w="1878" w:type="dxa"/>
            <w:tcBorders>
              <w:right w:val="nil"/>
            </w:tcBorders>
            <w:shd w:val="clear" w:color="auto" w:fill="auto"/>
            <w:vAlign w:val="center"/>
          </w:tcPr>
          <w:p w14:paraId="56FAE3C2" w14:textId="77777777" w:rsidR="00B944B2" w:rsidRPr="00C14DB6" w:rsidRDefault="00B944B2" w:rsidP="00C14DB6">
            <w:pPr>
              <w:pStyle w:val="MDPI42tablebody"/>
              <w:autoSpaceDE w:val="0"/>
              <w:autoSpaceDN w:val="0"/>
              <w:rPr>
                <w:sz w:val="18"/>
                <w:szCs w:val="18"/>
              </w:rPr>
            </w:pPr>
            <w:r w:rsidRPr="00C14DB6">
              <w:rPr>
                <w:sz w:val="18"/>
                <w:szCs w:val="18"/>
              </w:rPr>
              <w:t>pre-stress</w:t>
            </w:r>
          </w:p>
        </w:tc>
        <w:tc>
          <w:tcPr>
            <w:tcW w:w="745" w:type="dxa"/>
            <w:tcBorders>
              <w:left w:val="nil"/>
              <w:right w:val="nil"/>
            </w:tcBorders>
            <w:shd w:val="clear" w:color="auto" w:fill="auto"/>
            <w:vAlign w:val="center"/>
          </w:tcPr>
          <w:p w14:paraId="72005DC5" w14:textId="77777777" w:rsidR="00B944B2" w:rsidRPr="00C14DB6" w:rsidRDefault="00B944B2" w:rsidP="00C14DB6">
            <w:pPr>
              <w:pStyle w:val="MDPI42tablebody"/>
              <w:autoSpaceDE w:val="0"/>
              <w:autoSpaceDN w:val="0"/>
              <w:rPr>
                <w:sz w:val="18"/>
                <w:szCs w:val="18"/>
              </w:rPr>
            </w:pPr>
            <w:r w:rsidRPr="00C14DB6">
              <w:rPr>
                <w:sz w:val="18"/>
                <w:szCs w:val="18"/>
              </w:rPr>
              <w:t>1767.90</w:t>
            </w:r>
          </w:p>
        </w:tc>
        <w:tc>
          <w:tcPr>
            <w:tcW w:w="746" w:type="dxa"/>
            <w:tcBorders>
              <w:left w:val="nil"/>
              <w:right w:val="nil"/>
            </w:tcBorders>
            <w:shd w:val="clear" w:color="auto" w:fill="auto"/>
            <w:vAlign w:val="center"/>
          </w:tcPr>
          <w:p w14:paraId="131A35AC" w14:textId="77777777" w:rsidR="00B944B2" w:rsidRPr="00C14DB6" w:rsidRDefault="00B944B2" w:rsidP="00C14DB6">
            <w:pPr>
              <w:pStyle w:val="MDPI42tablebody"/>
              <w:autoSpaceDE w:val="0"/>
              <w:autoSpaceDN w:val="0"/>
              <w:rPr>
                <w:sz w:val="18"/>
                <w:szCs w:val="18"/>
              </w:rPr>
            </w:pPr>
            <w:r w:rsidRPr="00C14DB6">
              <w:rPr>
                <w:sz w:val="18"/>
                <w:szCs w:val="18"/>
              </w:rPr>
              <w:t>807.39</w:t>
            </w:r>
          </w:p>
        </w:tc>
        <w:tc>
          <w:tcPr>
            <w:tcW w:w="745" w:type="dxa"/>
            <w:tcBorders>
              <w:left w:val="nil"/>
              <w:right w:val="nil"/>
            </w:tcBorders>
            <w:shd w:val="clear" w:color="auto" w:fill="auto"/>
            <w:vAlign w:val="center"/>
          </w:tcPr>
          <w:p w14:paraId="6F89B88F" w14:textId="77777777" w:rsidR="00B944B2" w:rsidRPr="00C14DB6" w:rsidRDefault="00B944B2" w:rsidP="00C14DB6">
            <w:pPr>
              <w:pStyle w:val="MDPI42tablebody"/>
              <w:autoSpaceDE w:val="0"/>
              <w:autoSpaceDN w:val="0"/>
              <w:rPr>
                <w:sz w:val="18"/>
                <w:szCs w:val="18"/>
              </w:rPr>
            </w:pPr>
            <w:r w:rsidRPr="00C14DB6">
              <w:rPr>
                <w:sz w:val="18"/>
                <w:szCs w:val="18"/>
              </w:rPr>
              <w:t>2518.82</w:t>
            </w:r>
          </w:p>
        </w:tc>
        <w:tc>
          <w:tcPr>
            <w:tcW w:w="747" w:type="dxa"/>
            <w:tcBorders>
              <w:left w:val="nil"/>
              <w:right w:val="nil"/>
            </w:tcBorders>
            <w:shd w:val="clear" w:color="auto" w:fill="auto"/>
            <w:vAlign w:val="center"/>
          </w:tcPr>
          <w:p w14:paraId="117A452E" w14:textId="77777777" w:rsidR="00B944B2" w:rsidRPr="00C14DB6" w:rsidRDefault="00B944B2" w:rsidP="00C14DB6">
            <w:pPr>
              <w:pStyle w:val="MDPI42tablebody"/>
              <w:autoSpaceDE w:val="0"/>
              <w:autoSpaceDN w:val="0"/>
              <w:rPr>
                <w:sz w:val="18"/>
                <w:szCs w:val="18"/>
              </w:rPr>
            </w:pPr>
            <w:r w:rsidRPr="00C14DB6">
              <w:rPr>
                <w:sz w:val="18"/>
                <w:szCs w:val="18"/>
              </w:rPr>
              <w:t>1351.30</w:t>
            </w:r>
          </w:p>
        </w:tc>
        <w:tc>
          <w:tcPr>
            <w:tcW w:w="746" w:type="dxa"/>
            <w:tcBorders>
              <w:left w:val="nil"/>
              <w:right w:val="nil"/>
            </w:tcBorders>
            <w:shd w:val="clear" w:color="auto" w:fill="auto"/>
            <w:vAlign w:val="center"/>
          </w:tcPr>
          <w:p w14:paraId="1ABCB9AC" w14:textId="77777777" w:rsidR="00B944B2" w:rsidRPr="00C14DB6" w:rsidRDefault="00B944B2" w:rsidP="00C14DB6">
            <w:pPr>
              <w:pStyle w:val="MDPI42tablebody"/>
              <w:autoSpaceDE w:val="0"/>
              <w:autoSpaceDN w:val="0"/>
              <w:rPr>
                <w:sz w:val="18"/>
                <w:szCs w:val="18"/>
              </w:rPr>
            </w:pPr>
            <w:r w:rsidRPr="00C14DB6">
              <w:rPr>
                <w:sz w:val="18"/>
                <w:szCs w:val="18"/>
              </w:rPr>
              <w:t>1826.48</w:t>
            </w:r>
          </w:p>
        </w:tc>
        <w:tc>
          <w:tcPr>
            <w:tcW w:w="745" w:type="dxa"/>
            <w:tcBorders>
              <w:left w:val="nil"/>
              <w:right w:val="nil"/>
            </w:tcBorders>
            <w:shd w:val="clear" w:color="auto" w:fill="auto"/>
            <w:vAlign w:val="center"/>
          </w:tcPr>
          <w:p w14:paraId="552BCBA8" w14:textId="77777777" w:rsidR="00B944B2" w:rsidRPr="00C14DB6" w:rsidRDefault="00B944B2" w:rsidP="00C14DB6">
            <w:pPr>
              <w:pStyle w:val="MDPI42tablebody"/>
              <w:autoSpaceDE w:val="0"/>
              <w:autoSpaceDN w:val="0"/>
              <w:rPr>
                <w:sz w:val="18"/>
                <w:szCs w:val="18"/>
              </w:rPr>
            </w:pPr>
            <w:r w:rsidRPr="00C14DB6">
              <w:rPr>
                <w:sz w:val="18"/>
                <w:szCs w:val="18"/>
              </w:rPr>
              <w:t>922.10</w:t>
            </w:r>
          </w:p>
        </w:tc>
        <w:tc>
          <w:tcPr>
            <w:tcW w:w="746" w:type="dxa"/>
            <w:tcBorders>
              <w:left w:val="nil"/>
              <w:right w:val="nil"/>
            </w:tcBorders>
            <w:shd w:val="clear" w:color="auto" w:fill="auto"/>
            <w:vAlign w:val="center"/>
          </w:tcPr>
          <w:p w14:paraId="0C30D383" w14:textId="77777777" w:rsidR="00B944B2" w:rsidRPr="00C14DB6" w:rsidRDefault="00B944B2" w:rsidP="00C14DB6">
            <w:pPr>
              <w:pStyle w:val="MDPI42tablebody"/>
              <w:autoSpaceDE w:val="0"/>
              <w:autoSpaceDN w:val="0"/>
              <w:rPr>
                <w:sz w:val="18"/>
                <w:szCs w:val="18"/>
              </w:rPr>
            </w:pPr>
            <w:r w:rsidRPr="00C14DB6">
              <w:rPr>
                <w:sz w:val="18"/>
                <w:szCs w:val="18"/>
              </w:rPr>
              <w:t>2475.12</w:t>
            </w:r>
          </w:p>
        </w:tc>
        <w:tc>
          <w:tcPr>
            <w:tcW w:w="759" w:type="dxa"/>
            <w:gridSpan w:val="2"/>
            <w:tcBorders>
              <w:left w:val="nil"/>
            </w:tcBorders>
            <w:shd w:val="clear" w:color="auto" w:fill="auto"/>
            <w:vAlign w:val="center"/>
          </w:tcPr>
          <w:p w14:paraId="482EF625" w14:textId="77777777" w:rsidR="00B944B2" w:rsidRPr="00C14DB6" w:rsidRDefault="00B944B2" w:rsidP="00C14DB6">
            <w:pPr>
              <w:pStyle w:val="MDPI42tablebody"/>
              <w:autoSpaceDE w:val="0"/>
              <w:autoSpaceDN w:val="0"/>
              <w:rPr>
                <w:sz w:val="18"/>
                <w:szCs w:val="18"/>
              </w:rPr>
            </w:pPr>
            <w:r w:rsidRPr="00C14DB6">
              <w:rPr>
                <w:sz w:val="18"/>
                <w:szCs w:val="18"/>
              </w:rPr>
              <w:t>1249.39</w:t>
            </w:r>
          </w:p>
        </w:tc>
      </w:tr>
      <w:tr w:rsidR="00B944B2" w:rsidRPr="00C14DB6" w14:paraId="69ED4B7B" w14:textId="77777777" w:rsidTr="00C14DB6">
        <w:tc>
          <w:tcPr>
            <w:tcW w:w="1878" w:type="dxa"/>
            <w:tcBorders>
              <w:right w:val="nil"/>
            </w:tcBorders>
            <w:shd w:val="clear" w:color="auto" w:fill="auto"/>
            <w:vAlign w:val="center"/>
          </w:tcPr>
          <w:p w14:paraId="10C555DD" w14:textId="77777777" w:rsidR="00B944B2" w:rsidRPr="00C14DB6" w:rsidRDefault="00B944B2" w:rsidP="00C14DB6">
            <w:pPr>
              <w:pStyle w:val="MDPI42tablebody"/>
              <w:autoSpaceDE w:val="0"/>
              <w:autoSpaceDN w:val="0"/>
              <w:rPr>
                <w:sz w:val="18"/>
                <w:szCs w:val="18"/>
              </w:rPr>
            </w:pPr>
            <w:r w:rsidRPr="00C14DB6">
              <w:rPr>
                <w:sz w:val="18"/>
                <w:szCs w:val="18"/>
              </w:rPr>
              <w:t>post-stress</w:t>
            </w:r>
          </w:p>
        </w:tc>
        <w:tc>
          <w:tcPr>
            <w:tcW w:w="745" w:type="dxa"/>
            <w:tcBorders>
              <w:left w:val="nil"/>
              <w:right w:val="nil"/>
            </w:tcBorders>
            <w:shd w:val="clear" w:color="auto" w:fill="auto"/>
            <w:vAlign w:val="center"/>
          </w:tcPr>
          <w:p w14:paraId="7D7BAFE9" w14:textId="77777777" w:rsidR="00B944B2" w:rsidRPr="00C14DB6" w:rsidRDefault="00B944B2" w:rsidP="00C14DB6">
            <w:pPr>
              <w:pStyle w:val="MDPI42tablebody"/>
              <w:autoSpaceDE w:val="0"/>
              <w:autoSpaceDN w:val="0"/>
              <w:rPr>
                <w:sz w:val="18"/>
                <w:szCs w:val="18"/>
              </w:rPr>
            </w:pPr>
            <w:r w:rsidRPr="00C14DB6">
              <w:rPr>
                <w:sz w:val="18"/>
                <w:szCs w:val="18"/>
              </w:rPr>
              <w:t>1672.45</w:t>
            </w:r>
          </w:p>
        </w:tc>
        <w:tc>
          <w:tcPr>
            <w:tcW w:w="746" w:type="dxa"/>
            <w:tcBorders>
              <w:left w:val="nil"/>
              <w:right w:val="nil"/>
            </w:tcBorders>
            <w:shd w:val="clear" w:color="auto" w:fill="auto"/>
            <w:vAlign w:val="center"/>
          </w:tcPr>
          <w:p w14:paraId="0D18796E" w14:textId="77777777" w:rsidR="00B944B2" w:rsidRPr="00C14DB6" w:rsidRDefault="00B944B2" w:rsidP="00C14DB6">
            <w:pPr>
              <w:pStyle w:val="MDPI42tablebody"/>
              <w:autoSpaceDE w:val="0"/>
              <w:autoSpaceDN w:val="0"/>
              <w:rPr>
                <w:sz w:val="18"/>
                <w:szCs w:val="18"/>
              </w:rPr>
            </w:pPr>
            <w:r w:rsidRPr="00C14DB6">
              <w:rPr>
                <w:sz w:val="18"/>
                <w:szCs w:val="18"/>
              </w:rPr>
              <w:t>806.46</w:t>
            </w:r>
          </w:p>
        </w:tc>
        <w:tc>
          <w:tcPr>
            <w:tcW w:w="745" w:type="dxa"/>
            <w:tcBorders>
              <w:left w:val="nil"/>
              <w:right w:val="nil"/>
            </w:tcBorders>
            <w:shd w:val="clear" w:color="auto" w:fill="auto"/>
            <w:vAlign w:val="center"/>
          </w:tcPr>
          <w:p w14:paraId="7EF72721" w14:textId="77777777" w:rsidR="00B944B2" w:rsidRPr="00C14DB6" w:rsidRDefault="00B944B2" w:rsidP="00C14DB6">
            <w:pPr>
              <w:pStyle w:val="MDPI42tablebody"/>
              <w:autoSpaceDE w:val="0"/>
              <w:autoSpaceDN w:val="0"/>
              <w:rPr>
                <w:sz w:val="18"/>
                <w:szCs w:val="18"/>
              </w:rPr>
            </w:pPr>
            <w:r w:rsidRPr="00C14DB6">
              <w:rPr>
                <w:sz w:val="18"/>
                <w:szCs w:val="18"/>
              </w:rPr>
              <w:t>2145.73</w:t>
            </w:r>
          </w:p>
        </w:tc>
        <w:tc>
          <w:tcPr>
            <w:tcW w:w="747" w:type="dxa"/>
            <w:tcBorders>
              <w:left w:val="nil"/>
              <w:right w:val="nil"/>
            </w:tcBorders>
            <w:shd w:val="clear" w:color="auto" w:fill="auto"/>
            <w:vAlign w:val="center"/>
          </w:tcPr>
          <w:p w14:paraId="6AA529B4" w14:textId="77777777" w:rsidR="00B944B2" w:rsidRPr="00C14DB6" w:rsidRDefault="00B944B2" w:rsidP="00C14DB6">
            <w:pPr>
              <w:pStyle w:val="MDPI42tablebody"/>
              <w:autoSpaceDE w:val="0"/>
              <w:autoSpaceDN w:val="0"/>
              <w:rPr>
                <w:sz w:val="18"/>
                <w:szCs w:val="18"/>
              </w:rPr>
            </w:pPr>
            <w:r w:rsidRPr="00C14DB6">
              <w:rPr>
                <w:sz w:val="18"/>
                <w:szCs w:val="18"/>
              </w:rPr>
              <w:t>936.72</w:t>
            </w:r>
          </w:p>
        </w:tc>
        <w:tc>
          <w:tcPr>
            <w:tcW w:w="746" w:type="dxa"/>
            <w:tcBorders>
              <w:left w:val="nil"/>
              <w:right w:val="nil"/>
            </w:tcBorders>
            <w:shd w:val="clear" w:color="auto" w:fill="auto"/>
            <w:vAlign w:val="center"/>
          </w:tcPr>
          <w:p w14:paraId="5D3DBD06" w14:textId="77777777" w:rsidR="00B944B2" w:rsidRPr="00C14DB6" w:rsidRDefault="00B944B2" w:rsidP="00C14DB6">
            <w:pPr>
              <w:pStyle w:val="MDPI42tablebody"/>
              <w:autoSpaceDE w:val="0"/>
              <w:autoSpaceDN w:val="0"/>
              <w:rPr>
                <w:sz w:val="18"/>
                <w:szCs w:val="18"/>
              </w:rPr>
            </w:pPr>
            <w:r w:rsidRPr="00C14DB6">
              <w:rPr>
                <w:sz w:val="18"/>
                <w:szCs w:val="18"/>
              </w:rPr>
              <w:t>1950.62</w:t>
            </w:r>
          </w:p>
        </w:tc>
        <w:tc>
          <w:tcPr>
            <w:tcW w:w="745" w:type="dxa"/>
            <w:tcBorders>
              <w:left w:val="nil"/>
              <w:right w:val="nil"/>
            </w:tcBorders>
            <w:shd w:val="clear" w:color="auto" w:fill="auto"/>
            <w:vAlign w:val="center"/>
          </w:tcPr>
          <w:p w14:paraId="248978D5" w14:textId="77777777" w:rsidR="00B944B2" w:rsidRPr="00C14DB6" w:rsidRDefault="00B944B2" w:rsidP="00C14DB6">
            <w:pPr>
              <w:pStyle w:val="MDPI42tablebody"/>
              <w:autoSpaceDE w:val="0"/>
              <w:autoSpaceDN w:val="0"/>
              <w:rPr>
                <w:sz w:val="18"/>
                <w:szCs w:val="18"/>
              </w:rPr>
            </w:pPr>
            <w:r w:rsidRPr="00C14DB6">
              <w:rPr>
                <w:sz w:val="18"/>
                <w:szCs w:val="18"/>
              </w:rPr>
              <w:t>1010.68</w:t>
            </w:r>
          </w:p>
        </w:tc>
        <w:tc>
          <w:tcPr>
            <w:tcW w:w="746" w:type="dxa"/>
            <w:tcBorders>
              <w:left w:val="nil"/>
              <w:right w:val="nil"/>
            </w:tcBorders>
            <w:shd w:val="clear" w:color="auto" w:fill="auto"/>
            <w:vAlign w:val="center"/>
          </w:tcPr>
          <w:p w14:paraId="48ED3B33" w14:textId="77777777" w:rsidR="00B944B2" w:rsidRPr="00C14DB6" w:rsidRDefault="00B944B2" w:rsidP="00C14DB6">
            <w:pPr>
              <w:pStyle w:val="MDPI42tablebody"/>
              <w:autoSpaceDE w:val="0"/>
              <w:autoSpaceDN w:val="0"/>
              <w:rPr>
                <w:sz w:val="18"/>
                <w:szCs w:val="18"/>
              </w:rPr>
            </w:pPr>
            <w:r w:rsidRPr="00C14DB6">
              <w:rPr>
                <w:sz w:val="18"/>
                <w:szCs w:val="18"/>
              </w:rPr>
              <w:t>2322.97</w:t>
            </w:r>
          </w:p>
        </w:tc>
        <w:tc>
          <w:tcPr>
            <w:tcW w:w="759" w:type="dxa"/>
            <w:gridSpan w:val="2"/>
            <w:tcBorders>
              <w:left w:val="nil"/>
            </w:tcBorders>
            <w:shd w:val="clear" w:color="auto" w:fill="auto"/>
            <w:vAlign w:val="center"/>
          </w:tcPr>
          <w:p w14:paraId="5004F9BB" w14:textId="77777777" w:rsidR="00B944B2" w:rsidRPr="00C14DB6" w:rsidRDefault="00B944B2" w:rsidP="00C14DB6">
            <w:pPr>
              <w:pStyle w:val="MDPI42tablebody"/>
              <w:autoSpaceDE w:val="0"/>
              <w:autoSpaceDN w:val="0"/>
              <w:rPr>
                <w:sz w:val="18"/>
                <w:szCs w:val="18"/>
              </w:rPr>
            </w:pPr>
            <w:r w:rsidRPr="00C14DB6">
              <w:rPr>
                <w:sz w:val="18"/>
                <w:szCs w:val="18"/>
              </w:rPr>
              <w:t>1200.20</w:t>
            </w:r>
          </w:p>
        </w:tc>
      </w:tr>
      <w:tr w:rsidR="00B944B2" w:rsidRPr="00C14DB6" w14:paraId="06659407" w14:textId="77777777" w:rsidTr="00C14DB6">
        <w:tc>
          <w:tcPr>
            <w:tcW w:w="1878" w:type="dxa"/>
            <w:tcBorders>
              <w:right w:val="nil"/>
            </w:tcBorders>
            <w:shd w:val="clear" w:color="auto" w:fill="auto"/>
            <w:vAlign w:val="center"/>
          </w:tcPr>
          <w:p w14:paraId="4F7591A3" w14:textId="77777777" w:rsidR="00B944B2" w:rsidRPr="00C14DB6" w:rsidRDefault="00B944B2" w:rsidP="00C14DB6">
            <w:pPr>
              <w:pStyle w:val="MDPI42tablebody"/>
              <w:autoSpaceDE w:val="0"/>
              <w:autoSpaceDN w:val="0"/>
              <w:rPr>
                <w:sz w:val="18"/>
                <w:szCs w:val="18"/>
              </w:rPr>
            </w:pPr>
            <w:r w:rsidRPr="00C14DB6">
              <w:rPr>
                <w:sz w:val="18"/>
                <w:szCs w:val="18"/>
                <w:u w:val="single"/>
              </w:rPr>
              <w:t>Positive affect [PANAS]</w:t>
            </w:r>
          </w:p>
        </w:tc>
        <w:tc>
          <w:tcPr>
            <w:tcW w:w="745" w:type="dxa"/>
            <w:tcBorders>
              <w:left w:val="nil"/>
              <w:right w:val="nil"/>
            </w:tcBorders>
            <w:shd w:val="clear" w:color="auto" w:fill="auto"/>
            <w:vAlign w:val="center"/>
          </w:tcPr>
          <w:p w14:paraId="6C60FFE4"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6045BA53" w14:textId="77777777" w:rsidR="00B944B2" w:rsidRPr="00C14DB6" w:rsidRDefault="00B944B2" w:rsidP="00C14DB6">
            <w:pPr>
              <w:pStyle w:val="MDPI42tablebody"/>
              <w:autoSpaceDE w:val="0"/>
              <w:autoSpaceDN w:val="0"/>
              <w:rPr>
                <w:sz w:val="18"/>
                <w:szCs w:val="18"/>
              </w:rPr>
            </w:pPr>
          </w:p>
        </w:tc>
        <w:tc>
          <w:tcPr>
            <w:tcW w:w="745" w:type="dxa"/>
            <w:tcBorders>
              <w:left w:val="nil"/>
              <w:right w:val="nil"/>
            </w:tcBorders>
            <w:shd w:val="clear" w:color="auto" w:fill="auto"/>
            <w:vAlign w:val="center"/>
          </w:tcPr>
          <w:p w14:paraId="6E09DC97" w14:textId="77777777" w:rsidR="00B944B2" w:rsidRPr="00C14DB6" w:rsidRDefault="00B944B2" w:rsidP="00C14DB6">
            <w:pPr>
              <w:pStyle w:val="MDPI42tablebody"/>
              <w:autoSpaceDE w:val="0"/>
              <w:autoSpaceDN w:val="0"/>
              <w:rPr>
                <w:sz w:val="18"/>
                <w:szCs w:val="18"/>
              </w:rPr>
            </w:pPr>
          </w:p>
        </w:tc>
        <w:tc>
          <w:tcPr>
            <w:tcW w:w="747" w:type="dxa"/>
            <w:tcBorders>
              <w:left w:val="nil"/>
              <w:right w:val="nil"/>
            </w:tcBorders>
            <w:shd w:val="clear" w:color="auto" w:fill="auto"/>
            <w:vAlign w:val="center"/>
          </w:tcPr>
          <w:p w14:paraId="0B606FEA"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0DB21C95" w14:textId="77777777" w:rsidR="00B944B2" w:rsidRPr="00C14DB6" w:rsidRDefault="00B944B2" w:rsidP="00C14DB6">
            <w:pPr>
              <w:pStyle w:val="MDPI42tablebody"/>
              <w:autoSpaceDE w:val="0"/>
              <w:autoSpaceDN w:val="0"/>
              <w:rPr>
                <w:sz w:val="18"/>
                <w:szCs w:val="18"/>
              </w:rPr>
            </w:pPr>
          </w:p>
        </w:tc>
        <w:tc>
          <w:tcPr>
            <w:tcW w:w="745" w:type="dxa"/>
            <w:tcBorders>
              <w:left w:val="nil"/>
              <w:right w:val="nil"/>
            </w:tcBorders>
            <w:shd w:val="clear" w:color="auto" w:fill="auto"/>
            <w:vAlign w:val="center"/>
          </w:tcPr>
          <w:p w14:paraId="04FF38EE"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4E37A9CC" w14:textId="77777777" w:rsidR="00B944B2" w:rsidRPr="00C14DB6" w:rsidRDefault="00B944B2" w:rsidP="00C14DB6">
            <w:pPr>
              <w:pStyle w:val="MDPI42tablebody"/>
              <w:autoSpaceDE w:val="0"/>
              <w:autoSpaceDN w:val="0"/>
              <w:rPr>
                <w:sz w:val="18"/>
                <w:szCs w:val="18"/>
              </w:rPr>
            </w:pPr>
          </w:p>
        </w:tc>
        <w:tc>
          <w:tcPr>
            <w:tcW w:w="759" w:type="dxa"/>
            <w:gridSpan w:val="2"/>
            <w:tcBorders>
              <w:left w:val="nil"/>
            </w:tcBorders>
            <w:shd w:val="clear" w:color="auto" w:fill="auto"/>
            <w:vAlign w:val="center"/>
          </w:tcPr>
          <w:p w14:paraId="4879DECF" w14:textId="77777777" w:rsidR="00B944B2" w:rsidRPr="00C14DB6" w:rsidRDefault="00B944B2" w:rsidP="00C14DB6">
            <w:pPr>
              <w:pStyle w:val="MDPI42tablebody"/>
              <w:autoSpaceDE w:val="0"/>
              <w:autoSpaceDN w:val="0"/>
              <w:rPr>
                <w:sz w:val="18"/>
                <w:szCs w:val="18"/>
              </w:rPr>
            </w:pPr>
          </w:p>
        </w:tc>
      </w:tr>
      <w:tr w:rsidR="00B944B2" w:rsidRPr="00C14DB6" w14:paraId="4EECAFC5" w14:textId="77777777" w:rsidTr="00C14DB6">
        <w:tc>
          <w:tcPr>
            <w:tcW w:w="1878" w:type="dxa"/>
            <w:tcBorders>
              <w:right w:val="nil"/>
            </w:tcBorders>
            <w:shd w:val="clear" w:color="auto" w:fill="auto"/>
            <w:vAlign w:val="center"/>
          </w:tcPr>
          <w:p w14:paraId="01EC8872" w14:textId="77777777" w:rsidR="00B944B2" w:rsidRPr="00C14DB6" w:rsidRDefault="00B944B2" w:rsidP="00C14DB6">
            <w:pPr>
              <w:pStyle w:val="MDPI42tablebody"/>
              <w:autoSpaceDE w:val="0"/>
              <w:autoSpaceDN w:val="0"/>
              <w:rPr>
                <w:sz w:val="18"/>
                <w:szCs w:val="18"/>
              </w:rPr>
            </w:pPr>
            <w:r w:rsidRPr="00C14DB6">
              <w:rPr>
                <w:sz w:val="18"/>
                <w:szCs w:val="18"/>
              </w:rPr>
              <w:lastRenderedPageBreak/>
              <w:t>pre-stress</w:t>
            </w:r>
          </w:p>
        </w:tc>
        <w:tc>
          <w:tcPr>
            <w:tcW w:w="745" w:type="dxa"/>
            <w:tcBorders>
              <w:left w:val="nil"/>
              <w:right w:val="nil"/>
            </w:tcBorders>
            <w:shd w:val="clear" w:color="auto" w:fill="auto"/>
            <w:vAlign w:val="center"/>
          </w:tcPr>
          <w:p w14:paraId="6A3B1DDB" w14:textId="77777777" w:rsidR="00B944B2" w:rsidRPr="00C14DB6" w:rsidRDefault="00B944B2" w:rsidP="00C14DB6">
            <w:pPr>
              <w:pStyle w:val="MDPI42tablebody"/>
              <w:autoSpaceDE w:val="0"/>
              <w:autoSpaceDN w:val="0"/>
              <w:rPr>
                <w:sz w:val="18"/>
                <w:szCs w:val="18"/>
              </w:rPr>
            </w:pPr>
            <w:r w:rsidRPr="00C14DB6">
              <w:rPr>
                <w:sz w:val="18"/>
                <w:szCs w:val="18"/>
              </w:rPr>
              <w:t>2.62</w:t>
            </w:r>
          </w:p>
        </w:tc>
        <w:tc>
          <w:tcPr>
            <w:tcW w:w="746" w:type="dxa"/>
            <w:tcBorders>
              <w:left w:val="nil"/>
              <w:right w:val="nil"/>
            </w:tcBorders>
            <w:shd w:val="clear" w:color="auto" w:fill="auto"/>
            <w:vAlign w:val="center"/>
          </w:tcPr>
          <w:p w14:paraId="78F54D59" w14:textId="77777777" w:rsidR="00B944B2" w:rsidRPr="00C14DB6" w:rsidRDefault="00B944B2" w:rsidP="00C14DB6">
            <w:pPr>
              <w:pStyle w:val="MDPI42tablebody"/>
              <w:autoSpaceDE w:val="0"/>
              <w:autoSpaceDN w:val="0"/>
              <w:rPr>
                <w:sz w:val="18"/>
                <w:szCs w:val="18"/>
              </w:rPr>
            </w:pPr>
            <w:r w:rsidRPr="00C14DB6">
              <w:rPr>
                <w:sz w:val="18"/>
                <w:szCs w:val="18"/>
              </w:rPr>
              <w:t>0.78</w:t>
            </w:r>
          </w:p>
        </w:tc>
        <w:tc>
          <w:tcPr>
            <w:tcW w:w="745" w:type="dxa"/>
            <w:tcBorders>
              <w:left w:val="nil"/>
              <w:right w:val="nil"/>
            </w:tcBorders>
            <w:shd w:val="clear" w:color="auto" w:fill="auto"/>
            <w:vAlign w:val="center"/>
          </w:tcPr>
          <w:p w14:paraId="75A54AA9" w14:textId="77777777" w:rsidR="00B944B2" w:rsidRPr="00C14DB6" w:rsidRDefault="00B944B2" w:rsidP="00C14DB6">
            <w:pPr>
              <w:pStyle w:val="MDPI42tablebody"/>
              <w:autoSpaceDE w:val="0"/>
              <w:autoSpaceDN w:val="0"/>
              <w:rPr>
                <w:sz w:val="18"/>
                <w:szCs w:val="18"/>
              </w:rPr>
            </w:pPr>
            <w:r w:rsidRPr="00C14DB6">
              <w:rPr>
                <w:sz w:val="18"/>
                <w:szCs w:val="18"/>
              </w:rPr>
              <w:t>2.66</w:t>
            </w:r>
          </w:p>
        </w:tc>
        <w:tc>
          <w:tcPr>
            <w:tcW w:w="747" w:type="dxa"/>
            <w:tcBorders>
              <w:left w:val="nil"/>
              <w:right w:val="nil"/>
            </w:tcBorders>
            <w:shd w:val="clear" w:color="auto" w:fill="auto"/>
            <w:vAlign w:val="center"/>
          </w:tcPr>
          <w:p w14:paraId="612E34FF" w14:textId="77777777" w:rsidR="00B944B2" w:rsidRPr="00C14DB6" w:rsidRDefault="00B944B2" w:rsidP="00C14DB6">
            <w:pPr>
              <w:pStyle w:val="MDPI42tablebody"/>
              <w:autoSpaceDE w:val="0"/>
              <w:autoSpaceDN w:val="0"/>
              <w:rPr>
                <w:sz w:val="18"/>
                <w:szCs w:val="18"/>
              </w:rPr>
            </w:pPr>
            <w:r w:rsidRPr="00C14DB6">
              <w:rPr>
                <w:sz w:val="18"/>
                <w:szCs w:val="18"/>
              </w:rPr>
              <w:t>0.77</w:t>
            </w:r>
          </w:p>
        </w:tc>
        <w:tc>
          <w:tcPr>
            <w:tcW w:w="746" w:type="dxa"/>
            <w:tcBorders>
              <w:left w:val="nil"/>
              <w:right w:val="nil"/>
            </w:tcBorders>
            <w:shd w:val="clear" w:color="auto" w:fill="auto"/>
            <w:vAlign w:val="center"/>
          </w:tcPr>
          <w:p w14:paraId="44B4015D" w14:textId="77777777" w:rsidR="00B944B2" w:rsidRPr="00C14DB6" w:rsidRDefault="00B944B2" w:rsidP="00C14DB6">
            <w:pPr>
              <w:pStyle w:val="MDPI42tablebody"/>
              <w:autoSpaceDE w:val="0"/>
              <w:autoSpaceDN w:val="0"/>
              <w:rPr>
                <w:sz w:val="18"/>
                <w:szCs w:val="18"/>
              </w:rPr>
            </w:pPr>
            <w:r w:rsidRPr="00C14DB6">
              <w:rPr>
                <w:sz w:val="18"/>
                <w:szCs w:val="18"/>
              </w:rPr>
              <w:t>2.56</w:t>
            </w:r>
          </w:p>
        </w:tc>
        <w:tc>
          <w:tcPr>
            <w:tcW w:w="745" w:type="dxa"/>
            <w:tcBorders>
              <w:left w:val="nil"/>
              <w:right w:val="nil"/>
            </w:tcBorders>
            <w:shd w:val="clear" w:color="auto" w:fill="auto"/>
            <w:vAlign w:val="center"/>
          </w:tcPr>
          <w:p w14:paraId="48A527BF" w14:textId="77777777" w:rsidR="00B944B2" w:rsidRPr="00C14DB6" w:rsidRDefault="00B944B2" w:rsidP="00C14DB6">
            <w:pPr>
              <w:pStyle w:val="MDPI42tablebody"/>
              <w:autoSpaceDE w:val="0"/>
              <w:autoSpaceDN w:val="0"/>
              <w:rPr>
                <w:sz w:val="18"/>
                <w:szCs w:val="18"/>
              </w:rPr>
            </w:pPr>
            <w:r w:rsidRPr="00C14DB6">
              <w:rPr>
                <w:sz w:val="18"/>
                <w:szCs w:val="18"/>
              </w:rPr>
              <w:t>0.80</w:t>
            </w:r>
          </w:p>
        </w:tc>
        <w:tc>
          <w:tcPr>
            <w:tcW w:w="746" w:type="dxa"/>
            <w:tcBorders>
              <w:left w:val="nil"/>
              <w:right w:val="nil"/>
            </w:tcBorders>
            <w:shd w:val="clear" w:color="auto" w:fill="auto"/>
            <w:vAlign w:val="center"/>
          </w:tcPr>
          <w:p w14:paraId="02F2B7DC" w14:textId="77777777" w:rsidR="00B944B2" w:rsidRPr="00C14DB6" w:rsidRDefault="00B944B2" w:rsidP="00C14DB6">
            <w:pPr>
              <w:pStyle w:val="MDPI42tablebody"/>
              <w:autoSpaceDE w:val="0"/>
              <w:autoSpaceDN w:val="0"/>
              <w:rPr>
                <w:sz w:val="18"/>
                <w:szCs w:val="18"/>
              </w:rPr>
            </w:pPr>
            <w:r w:rsidRPr="00C14DB6">
              <w:rPr>
                <w:sz w:val="18"/>
                <w:szCs w:val="18"/>
              </w:rPr>
              <w:t>2.71</w:t>
            </w:r>
          </w:p>
        </w:tc>
        <w:tc>
          <w:tcPr>
            <w:tcW w:w="759" w:type="dxa"/>
            <w:gridSpan w:val="2"/>
            <w:tcBorders>
              <w:left w:val="nil"/>
            </w:tcBorders>
            <w:shd w:val="clear" w:color="auto" w:fill="auto"/>
            <w:vAlign w:val="center"/>
          </w:tcPr>
          <w:p w14:paraId="348434DC" w14:textId="77777777" w:rsidR="00B944B2" w:rsidRPr="00C14DB6" w:rsidRDefault="00B944B2" w:rsidP="00C14DB6">
            <w:pPr>
              <w:pStyle w:val="MDPI42tablebody"/>
              <w:autoSpaceDE w:val="0"/>
              <w:autoSpaceDN w:val="0"/>
              <w:rPr>
                <w:sz w:val="18"/>
                <w:szCs w:val="18"/>
              </w:rPr>
            </w:pPr>
            <w:r w:rsidRPr="00C14DB6">
              <w:rPr>
                <w:sz w:val="18"/>
                <w:szCs w:val="18"/>
              </w:rPr>
              <w:t>0.72</w:t>
            </w:r>
          </w:p>
        </w:tc>
      </w:tr>
      <w:tr w:rsidR="00B944B2" w:rsidRPr="00C14DB6" w14:paraId="0E60DC18" w14:textId="77777777" w:rsidTr="00C14DB6">
        <w:tc>
          <w:tcPr>
            <w:tcW w:w="1878" w:type="dxa"/>
            <w:tcBorders>
              <w:right w:val="nil"/>
            </w:tcBorders>
            <w:shd w:val="clear" w:color="auto" w:fill="auto"/>
            <w:vAlign w:val="center"/>
          </w:tcPr>
          <w:p w14:paraId="691FECDC" w14:textId="77777777" w:rsidR="00B944B2" w:rsidRPr="00C14DB6" w:rsidRDefault="00B944B2" w:rsidP="00C14DB6">
            <w:pPr>
              <w:pStyle w:val="MDPI42tablebody"/>
              <w:autoSpaceDE w:val="0"/>
              <w:autoSpaceDN w:val="0"/>
              <w:rPr>
                <w:sz w:val="18"/>
                <w:szCs w:val="18"/>
              </w:rPr>
            </w:pPr>
            <w:r w:rsidRPr="00C14DB6">
              <w:rPr>
                <w:sz w:val="18"/>
                <w:szCs w:val="18"/>
              </w:rPr>
              <w:t>post-stress</w:t>
            </w:r>
          </w:p>
        </w:tc>
        <w:tc>
          <w:tcPr>
            <w:tcW w:w="745" w:type="dxa"/>
            <w:tcBorders>
              <w:left w:val="nil"/>
              <w:right w:val="nil"/>
            </w:tcBorders>
            <w:shd w:val="clear" w:color="auto" w:fill="auto"/>
            <w:vAlign w:val="center"/>
          </w:tcPr>
          <w:p w14:paraId="08CE9B07" w14:textId="77777777" w:rsidR="00B944B2" w:rsidRPr="00C14DB6" w:rsidRDefault="00B944B2" w:rsidP="00C14DB6">
            <w:pPr>
              <w:pStyle w:val="MDPI42tablebody"/>
              <w:autoSpaceDE w:val="0"/>
              <w:autoSpaceDN w:val="0"/>
              <w:rPr>
                <w:sz w:val="18"/>
                <w:szCs w:val="18"/>
              </w:rPr>
            </w:pPr>
            <w:r w:rsidRPr="00C14DB6">
              <w:rPr>
                <w:sz w:val="18"/>
                <w:szCs w:val="18"/>
              </w:rPr>
              <w:t>2.36</w:t>
            </w:r>
          </w:p>
        </w:tc>
        <w:tc>
          <w:tcPr>
            <w:tcW w:w="746" w:type="dxa"/>
            <w:tcBorders>
              <w:left w:val="nil"/>
              <w:right w:val="nil"/>
            </w:tcBorders>
            <w:shd w:val="clear" w:color="auto" w:fill="auto"/>
            <w:vAlign w:val="center"/>
          </w:tcPr>
          <w:p w14:paraId="791E0C9E" w14:textId="77777777" w:rsidR="00B944B2" w:rsidRPr="00C14DB6" w:rsidRDefault="00B944B2" w:rsidP="00C14DB6">
            <w:pPr>
              <w:pStyle w:val="MDPI42tablebody"/>
              <w:autoSpaceDE w:val="0"/>
              <w:autoSpaceDN w:val="0"/>
              <w:rPr>
                <w:sz w:val="18"/>
                <w:szCs w:val="18"/>
              </w:rPr>
            </w:pPr>
            <w:r w:rsidRPr="00C14DB6">
              <w:rPr>
                <w:sz w:val="18"/>
                <w:szCs w:val="18"/>
              </w:rPr>
              <w:t>0.83</w:t>
            </w:r>
          </w:p>
        </w:tc>
        <w:tc>
          <w:tcPr>
            <w:tcW w:w="745" w:type="dxa"/>
            <w:tcBorders>
              <w:left w:val="nil"/>
              <w:right w:val="nil"/>
            </w:tcBorders>
            <w:shd w:val="clear" w:color="auto" w:fill="auto"/>
            <w:vAlign w:val="center"/>
          </w:tcPr>
          <w:p w14:paraId="10D708A1" w14:textId="77777777" w:rsidR="00B944B2" w:rsidRPr="00C14DB6" w:rsidRDefault="00B944B2" w:rsidP="00C14DB6">
            <w:pPr>
              <w:pStyle w:val="MDPI42tablebody"/>
              <w:autoSpaceDE w:val="0"/>
              <w:autoSpaceDN w:val="0"/>
              <w:rPr>
                <w:sz w:val="18"/>
                <w:szCs w:val="18"/>
              </w:rPr>
            </w:pPr>
            <w:r w:rsidRPr="00C14DB6">
              <w:rPr>
                <w:sz w:val="18"/>
                <w:szCs w:val="18"/>
              </w:rPr>
              <w:t>2.42</w:t>
            </w:r>
          </w:p>
        </w:tc>
        <w:tc>
          <w:tcPr>
            <w:tcW w:w="747" w:type="dxa"/>
            <w:tcBorders>
              <w:left w:val="nil"/>
              <w:right w:val="nil"/>
            </w:tcBorders>
            <w:shd w:val="clear" w:color="auto" w:fill="auto"/>
            <w:vAlign w:val="center"/>
          </w:tcPr>
          <w:p w14:paraId="2472CC73" w14:textId="77777777" w:rsidR="00B944B2" w:rsidRPr="00C14DB6" w:rsidRDefault="00B944B2" w:rsidP="00C14DB6">
            <w:pPr>
              <w:pStyle w:val="MDPI42tablebody"/>
              <w:autoSpaceDE w:val="0"/>
              <w:autoSpaceDN w:val="0"/>
              <w:rPr>
                <w:sz w:val="18"/>
                <w:szCs w:val="18"/>
              </w:rPr>
            </w:pPr>
            <w:r w:rsidRPr="00C14DB6">
              <w:rPr>
                <w:sz w:val="18"/>
                <w:szCs w:val="18"/>
              </w:rPr>
              <w:t>0.88</w:t>
            </w:r>
          </w:p>
        </w:tc>
        <w:tc>
          <w:tcPr>
            <w:tcW w:w="746" w:type="dxa"/>
            <w:tcBorders>
              <w:left w:val="nil"/>
              <w:right w:val="nil"/>
            </w:tcBorders>
            <w:shd w:val="clear" w:color="auto" w:fill="auto"/>
            <w:vAlign w:val="center"/>
          </w:tcPr>
          <w:p w14:paraId="631A27F3" w14:textId="77777777" w:rsidR="00B944B2" w:rsidRPr="00C14DB6" w:rsidRDefault="00B944B2" w:rsidP="00C14DB6">
            <w:pPr>
              <w:pStyle w:val="MDPI42tablebody"/>
              <w:autoSpaceDE w:val="0"/>
              <w:autoSpaceDN w:val="0"/>
              <w:rPr>
                <w:sz w:val="18"/>
                <w:szCs w:val="18"/>
              </w:rPr>
            </w:pPr>
            <w:r w:rsidRPr="00C14DB6">
              <w:rPr>
                <w:sz w:val="18"/>
                <w:szCs w:val="18"/>
              </w:rPr>
              <w:t>2.45</w:t>
            </w:r>
          </w:p>
        </w:tc>
        <w:tc>
          <w:tcPr>
            <w:tcW w:w="745" w:type="dxa"/>
            <w:tcBorders>
              <w:left w:val="nil"/>
              <w:right w:val="nil"/>
            </w:tcBorders>
            <w:shd w:val="clear" w:color="auto" w:fill="auto"/>
            <w:vAlign w:val="center"/>
          </w:tcPr>
          <w:p w14:paraId="7D7B7CC0" w14:textId="77777777" w:rsidR="00B944B2" w:rsidRPr="00C14DB6" w:rsidRDefault="00B944B2" w:rsidP="00C14DB6">
            <w:pPr>
              <w:pStyle w:val="MDPI42tablebody"/>
              <w:autoSpaceDE w:val="0"/>
              <w:autoSpaceDN w:val="0"/>
              <w:rPr>
                <w:sz w:val="18"/>
                <w:szCs w:val="18"/>
              </w:rPr>
            </w:pPr>
            <w:r w:rsidRPr="00C14DB6">
              <w:rPr>
                <w:sz w:val="18"/>
                <w:szCs w:val="18"/>
              </w:rPr>
              <w:t>0.76</w:t>
            </w:r>
          </w:p>
        </w:tc>
        <w:tc>
          <w:tcPr>
            <w:tcW w:w="746" w:type="dxa"/>
            <w:tcBorders>
              <w:left w:val="nil"/>
              <w:right w:val="nil"/>
            </w:tcBorders>
            <w:shd w:val="clear" w:color="auto" w:fill="auto"/>
            <w:vAlign w:val="center"/>
          </w:tcPr>
          <w:p w14:paraId="056DCC09" w14:textId="77777777" w:rsidR="00B944B2" w:rsidRPr="00C14DB6" w:rsidRDefault="00B944B2" w:rsidP="00C14DB6">
            <w:pPr>
              <w:pStyle w:val="MDPI42tablebody"/>
              <w:autoSpaceDE w:val="0"/>
              <w:autoSpaceDN w:val="0"/>
              <w:rPr>
                <w:sz w:val="18"/>
                <w:szCs w:val="18"/>
              </w:rPr>
            </w:pPr>
            <w:r w:rsidRPr="00C14DB6">
              <w:rPr>
                <w:sz w:val="18"/>
                <w:szCs w:val="18"/>
              </w:rPr>
              <w:t>2.51</w:t>
            </w:r>
          </w:p>
        </w:tc>
        <w:tc>
          <w:tcPr>
            <w:tcW w:w="759" w:type="dxa"/>
            <w:gridSpan w:val="2"/>
            <w:tcBorders>
              <w:left w:val="nil"/>
            </w:tcBorders>
            <w:shd w:val="clear" w:color="auto" w:fill="auto"/>
            <w:vAlign w:val="center"/>
          </w:tcPr>
          <w:p w14:paraId="60393987" w14:textId="77777777" w:rsidR="00B944B2" w:rsidRPr="00C14DB6" w:rsidRDefault="00B944B2" w:rsidP="00C14DB6">
            <w:pPr>
              <w:pStyle w:val="MDPI42tablebody"/>
              <w:autoSpaceDE w:val="0"/>
              <w:autoSpaceDN w:val="0"/>
              <w:rPr>
                <w:sz w:val="18"/>
                <w:szCs w:val="18"/>
              </w:rPr>
            </w:pPr>
            <w:r w:rsidRPr="00C14DB6">
              <w:rPr>
                <w:sz w:val="18"/>
                <w:szCs w:val="18"/>
              </w:rPr>
              <w:t>0.75</w:t>
            </w:r>
          </w:p>
        </w:tc>
      </w:tr>
      <w:tr w:rsidR="00B944B2" w:rsidRPr="00C14DB6" w14:paraId="4A85F265" w14:textId="77777777" w:rsidTr="00C14DB6">
        <w:tc>
          <w:tcPr>
            <w:tcW w:w="1878" w:type="dxa"/>
            <w:tcBorders>
              <w:right w:val="nil"/>
            </w:tcBorders>
            <w:shd w:val="clear" w:color="auto" w:fill="auto"/>
            <w:vAlign w:val="center"/>
          </w:tcPr>
          <w:p w14:paraId="34E83559" w14:textId="77777777" w:rsidR="00B944B2" w:rsidRPr="00C14DB6" w:rsidRDefault="00B944B2" w:rsidP="00C14DB6">
            <w:pPr>
              <w:pStyle w:val="MDPI42tablebody"/>
              <w:autoSpaceDE w:val="0"/>
              <w:autoSpaceDN w:val="0"/>
              <w:rPr>
                <w:sz w:val="18"/>
                <w:szCs w:val="18"/>
              </w:rPr>
            </w:pPr>
            <w:r w:rsidRPr="00C14DB6">
              <w:rPr>
                <w:sz w:val="18"/>
                <w:szCs w:val="18"/>
                <w:u w:val="single"/>
              </w:rPr>
              <w:t>Negative affect [PANAS]</w:t>
            </w:r>
          </w:p>
        </w:tc>
        <w:tc>
          <w:tcPr>
            <w:tcW w:w="745" w:type="dxa"/>
            <w:tcBorders>
              <w:left w:val="nil"/>
              <w:right w:val="nil"/>
            </w:tcBorders>
            <w:shd w:val="clear" w:color="auto" w:fill="auto"/>
            <w:vAlign w:val="center"/>
          </w:tcPr>
          <w:p w14:paraId="4B536CC0"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5A7FDE49" w14:textId="77777777" w:rsidR="00B944B2" w:rsidRPr="00C14DB6" w:rsidRDefault="00B944B2" w:rsidP="00C14DB6">
            <w:pPr>
              <w:pStyle w:val="MDPI42tablebody"/>
              <w:autoSpaceDE w:val="0"/>
              <w:autoSpaceDN w:val="0"/>
              <w:rPr>
                <w:sz w:val="18"/>
                <w:szCs w:val="18"/>
              </w:rPr>
            </w:pPr>
          </w:p>
        </w:tc>
        <w:tc>
          <w:tcPr>
            <w:tcW w:w="745" w:type="dxa"/>
            <w:tcBorders>
              <w:left w:val="nil"/>
              <w:right w:val="nil"/>
            </w:tcBorders>
            <w:shd w:val="clear" w:color="auto" w:fill="auto"/>
            <w:vAlign w:val="center"/>
          </w:tcPr>
          <w:p w14:paraId="767F7CDE" w14:textId="77777777" w:rsidR="00B944B2" w:rsidRPr="00C14DB6" w:rsidRDefault="00B944B2" w:rsidP="00C14DB6">
            <w:pPr>
              <w:pStyle w:val="MDPI42tablebody"/>
              <w:autoSpaceDE w:val="0"/>
              <w:autoSpaceDN w:val="0"/>
              <w:rPr>
                <w:sz w:val="18"/>
                <w:szCs w:val="18"/>
              </w:rPr>
            </w:pPr>
          </w:p>
        </w:tc>
        <w:tc>
          <w:tcPr>
            <w:tcW w:w="747" w:type="dxa"/>
            <w:tcBorders>
              <w:left w:val="nil"/>
              <w:right w:val="nil"/>
            </w:tcBorders>
            <w:shd w:val="clear" w:color="auto" w:fill="auto"/>
            <w:vAlign w:val="center"/>
          </w:tcPr>
          <w:p w14:paraId="13E65580"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066AC4ED" w14:textId="77777777" w:rsidR="00B944B2" w:rsidRPr="00C14DB6" w:rsidRDefault="00B944B2" w:rsidP="00C14DB6">
            <w:pPr>
              <w:pStyle w:val="MDPI42tablebody"/>
              <w:autoSpaceDE w:val="0"/>
              <w:autoSpaceDN w:val="0"/>
              <w:rPr>
                <w:sz w:val="18"/>
                <w:szCs w:val="18"/>
              </w:rPr>
            </w:pPr>
          </w:p>
        </w:tc>
        <w:tc>
          <w:tcPr>
            <w:tcW w:w="745" w:type="dxa"/>
            <w:tcBorders>
              <w:left w:val="nil"/>
              <w:right w:val="nil"/>
            </w:tcBorders>
            <w:shd w:val="clear" w:color="auto" w:fill="auto"/>
            <w:vAlign w:val="center"/>
          </w:tcPr>
          <w:p w14:paraId="49117F21"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3F46F652" w14:textId="77777777" w:rsidR="00B944B2" w:rsidRPr="00C14DB6" w:rsidRDefault="00B944B2" w:rsidP="00C14DB6">
            <w:pPr>
              <w:pStyle w:val="MDPI42tablebody"/>
              <w:autoSpaceDE w:val="0"/>
              <w:autoSpaceDN w:val="0"/>
              <w:rPr>
                <w:sz w:val="18"/>
                <w:szCs w:val="18"/>
              </w:rPr>
            </w:pPr>
          </w:p>
        </w:tc>
        <w:tc>
          <w:tcPr>
            <w:tcW w:w="759" w:type="dxa"/>
            <w:gridSpan w:val="2"/>
            <w:tcBorders>
              <w:left w:val="nil"/>
            </w:tcBorders>
            <w:shd w:val="clear" w:color="auto" w:fill="auto"/>
            <w:vAlign w:val="center"/>
          </w:tcPr>
          <w:p w14:paraId="20647FC2" w14:textId="77777777" w:rsidR="00B944B2" w:rsidRPr="00C14DB6" w:rsidRDefault="00B944B2" w:rsidP="00C14DB6">
            <w:pPr>
              <w:pStyle w:val="MDPI42tablebody"/>
              <w:autoSpaceDE w:val="0"/>
              <w:autoSpaceDN w:val="0"/>
              <w:rPr>
                <w:sz w:val="18"/>
                <w:szCs w:val="18"/>
              </w:rPr>
            </w:pPr>
          </w:p>
        </w:tc>
      </w:tr>
      <w:tr w:rsidR="00B944B2" w:rsidRPr="00C14DB6" w14:paraId="5A3B8498" w14:textId="77777777" w:rsidTr="00C14DB6">
        <w:tc>
          <w:tcPr>
            <w:tcW w:w="1878" w:type="dxa"/>
            <w:tcBorders>
              <w:right w:val="nil"/>
            </w:tcBorders>
            <w:shd w:val="clear" w:color="auto" w:fill="auto"/>
            <w:vAlign w:val="center"/>
          </w:tcPr>
          <w:p w14:paraId="0FB0DA05" w14:textId="77777777" w:rsidR="00B944B2" w:rsidRPr="00C14DB6" w:rsidRDefault="00B944B2" w:rsidP="00C14DB6">
            <w:pPr>
              <w:pStyle w:val="MDPI42tablebody"/>
              <w:autoSpaceDE w:val="0"/>
              <w:autoSpaceDN w:val="0"/>
              <w:rPr>
                <w:sz w:val="18"/>
                <w:szCs w:val="18"/>
              </w:rPr>
            </w:pPr>
            <w:r w:rsidRPr="00C14DB6">
              <w:rPr>
                <w:sz w:val="18"/>
                <w:szCs w:val="18"/>
              </w:rPr>
              <w:t>pre-stress</w:t>
            </w:r>
          </w:p>
        </w:tc>
        <w:tc>
          <w:tcPr>
            <w:tcW w:w="745" w:type="dxa"/>
            <w:tcBorders>
              <w:left w:val="nil"/>
              <w:right w:val="nil"/>
            </w:tcBorders>
            <w:shd w:val="clear" w:color="auto" w:fill="auto"/>
            <w:vAlign w:val="center"/>
          </w:tcPr>
          <w:p w14:paraId="0EA8B6AE" w14:textId="77777777" w:rsidR="00B944B2" w:rsidRPr="00C14DB6" w:rsidRDefault="00B944B2" w:rsidP="00C14DB6">
            <w:pPr>
              <w:pStyle w:val="MDPI42tablebody"/>
              <w:autoSpaceDE w:val="0"/>
              <w:autoSpaceDN w:val="0"/>
              <w:rPr>
                <w:sz w:val="18"/>
                <w:szCs w:val="18"/>
              </w:rPr>
            </w:pPr>
            <w:r w:rsidRPr="00C14DB6">
              <w:rPr>
                <w:sz w:val="18"/>
                <w:szCs w:val="18"/>
              </w:rPr>
              <w:t>1.19</w:t>
            </w:r>
          </w:p>
        </w:tc>
        <w:tc>
          <w:tcPr>
            <w:tcW w:w="746" w:type="dxa"/>
            <w:tcBorders>
              <w:left w:val="nil"/>
              <w:right w:val="nil"/>
            </w:tcBorders>
            <w:shd w:val="clear" w:color="auto" w:fill="auto"/>
            <w:vAlign w:val="center"/>
          </w:tcPr>
          <w:p w14:paraId="7974E1E9" w14:textId="77777777" w:rsidR="00B944B2" w:rsidRPr="00C14DB6" w:rsidRDefault="00B944B2" w:rsidP="00C14DB6">
            <w:pPr>
              <w:pStyle w:val="MDPI42tablebody"/>
              <w:autoSpaceDE w:val="0"/>
              <w:autoSpaceDN w:val="0"/>
              <w:rPr>
                <w:sz w:val="18"/>
                <w:szCs w:val="18"/>
              </w:rPr>
            </w:pPr>
            <w:r w:rsidRPr="00C14DB6">
              <w:rPr>
                <w:sz w:val="18"/>
                <w:szCs w:val="18"/>
              </w:rPr>
              <w:t>0.29</w:t>
            </w:r>
          </w:p>
        </w:tc>
        <w:tc>
          <w:tcPr>
            <w:tcW w:w="745" w:type="dxa"/>
            <w:tcBorders>
              <w:left w:val="nil"/>
              <w:right w:val="nil"/>
            </w:tcBorders>
            <w:shd w:val="clear" w:color="auto" w:fill="auto"/>
            <w:vAlign w:val="center"/>
          </w:tcPr>
          <w:p w14:paraId="140BAA66" w14:textId="77777777" w:rsidR="00B944B2" w:rsidRPr="00C14DB6" w:rsidRDefault="00B944B2" w:rsidP="00C14DB6">
            <w:pPr>
              <w:pStyle w:val="MDPI42tablebody"/>
              <w:autoSpaceDE w:val="0"/>
              <w:autoSpaceDN w:val="0"/>
              <w:rPr>
                <w:sz w:val="18"/>
                <w:szCs w:val="18"/>
              </w:rPr>
            </w:pPr>
            <w:r w:rsidRPr="00C14DB6">
              <w:rPr>
                <w:sz w:val="18"/>
                <w:szCs w:val="18"/>
              </w:rPr>
              <w:t>1.17</w:t>
            </w:r>
          </w:p>
        </w:tc>
        <w:tc>
          <w:tcPr>
            <w:tcW w:w="747" w:type="dxa"/>
            <w:tcBorders>
              <w:left w:val="nil"/>
              <w:right w:val="nil"/>
            </w:tcBorders>
            <w:shd w:val="clear" w:color="auto" w:fill="auto"/>
            <w:vAlign w:val="center"/>
          </w:tcPr>
          <w:p w14:paraId="1E94BD2F" w14:textId="77777777" w:rsidR="00B944B2" w:rsidRPr="00C14DB6" w:rsidRDefault="00B944B2" w:rsidP="00C14DB6">
            <w:pPr>
              <w:pStyle w:val="MDPI42tablebody"/>
              <w:autoSpaceDE w:val="0"/>
              <w:autoSpaceDN w:val="0"/>
              <w:rPr>
                <w:sz w:val="18"/>
                <w:szCs w:val="18"/>
              </w:rPr>
            </w:pPr>
            <w:r w:rsidRPr="00C14DB6">
              <w:rPr>
                <w:sz w:val="18"/>
                <w:szCs w:val="18"/>
              </w:rPr>
              <w:t>0.25</w:t>
            </w:r>
          </w:p>
        </w:tc>
        <w:tc>
          <w:tcPr>
            <w:tcW w:w="746" w:type="dxa"/>
            <w:tcBorders>
              <w:left w:val="nil"/>
              <w:right w:val="nil"/>
            </w:tcBorders>
            <w:shd w:val="clear" w:color="auto" w:fill="auto"/>
            <w:vAlign w:val="center"/>
          </w:tcPr>
          <w:p w14:paraId="4B2A7B68" w14:textId="77777777" w:rsidR="00B944B2" w:rsidRPr="00C14DB6" w:rsidRDefault="00B944B2" w:rsidP="00C14DB6">
            <w:pPr>
              <w:pStyle w:val="MDPI42tablebody"/>
              <w:autoSpaceDE w:val="0"/>
              <w:autoSpaceDN w:val="0"/>
              <w:rPr>
                <w:sz w:val="18"/>
                <w:szCs w:val="18"/>
              </w:rPr>
            </w:pPr>
            <w:r w:rsidRPr="00C14DB6">
              <w:rPr>
                <w:sz w:val="18"/>
                <w:szCs w:val="18"/>
              </w:rPr>
              <w:t>1.22</w:t>
            </w:r>
          </w:p>
        </w:tc>
        <w:tc>
          <w:tcPr>
            <w:tcW w:w="745" w:type="dxa"/>
            <w:tcBorders>
              <w:left w:val="nil"/>
              <w:right w:val="nil"/>
            </w:tcBorders>
            <w:shd w:val="clear" w:color="auto" w:fill="auto"/>
            <w:vAlign w:val="center"/>
          </w:tcPr>
          <w:p w14:paraId="37CD1BA0" w14:textId="77777777" w:rsidR="00B944B2" w:rsidRPr="00C14DB6" w:rsidRDefault="00B944B2" w:rsidP="00C14DB6">
            <w:pPr>
              <w:pStyle w:val="MDPI42tablebody"/>
              <w:autoSpaceDE w:val="0"/>
              <w:autoSpaceDN w:val="0"/>
              <w:rPr>
                <w:sz w:val="18"/>
                <w:szCs w:val="18"/>
              </w:rPr>
            </w:pPr>
            <w:r w:rsidRPr="00C14DB6">
              <w:rPr>
                <w:sz w:val="18"/>
                <w:szCs w:val="18"/>
              </w:rPr>
              <w:t>0.35</w:t>
            </w:r>
          </w:p>
        </w:tc>
        <w:tc>
          <w:tcPr>
            <w:tcW w:w="746" w:type="dxa"/>
            <w:tcBorders>
              <w:left w:val="nil"/>
              <w:right w:val="nil"/>
            </w:tcBorders>
            <w:shd w:val="clear" w:color="auto" w:fill="auto"/>
            <w:vAlign w:val="center"/>
          </w:tcPr>
          <w:p w14:paraId="52A9909B" w14:textId="77777777" w:rsidR="00B944B2" w:rsidRPr="00C14DB6" w:rsidRDefault="00B944B2" w:rsidP="00C14DB6">
            <w:pPr>
              <w:pStyle w:val="MDPI42tablebody"/>
              <w:autoSpaceDE w:val="0"/>
              <w:autoSpaceDN w:val="0"/>
              <w:rPr>
                <w:sz w:val="18"/>
                <w:szCs w:val="18"/>
              </w:rPr>
            </w:pPr>
            <w:r w:rsidRPr="00C14DB6">
              <w:rPr>
                <w:sz w:val="18"/>
                <w:szCs w:val="18"/>
              </w:rPr>
              <w:t>1.21</w:t>
            </w:r>
          </w:p>
        </w:tc>
        <w:tc>
          <w:tcPr>
            <w:tcW w:w="759" w:type="dxa"/>
            <w:gridSpan w:val="2"/>
            <w:tcBorders>
              <w:left w:val="nil"/>
            </w:tcBorders>
            <w:shd w:val="clear" w:color="auto" w:fill="auto"/>
            <w:vAlign w:val="center"/>
          </w:tcPr>
          <w:p w14:paraId="4E1D6F16" w14:textId="77777777" w:rsidR="00B944B2" w:rsidRPr="00C14DB6" w:rsidRDefault="00B944B2" w:rsidP="00C14DB6">
            <w:pPr>
              <w:pStyle w:val="MDPI42tablebody"/>
              <w:autoSpaceDE w:val="0"/>
              <w:autoSpaceDN w:val="0"/>
              <w:rPr>
                <w:sz w:val="18"/>
                <w:szCs w:val="18"/>
              </w:rPr>
            </w:pPr>
            <w:r w:rsidRPr="00C14DB6">
              <w:rPr>
                <w:sz w:val="18"/>
                <w:szCs w:val="18"/>
              </w:rPr>
              <w:t>0.25</w:t>
            </w:r>
          </w:p>
        </w:tc>
      </w:tr>
      <w:tr w:rsidR="00B944B2" w:rsidRPr="00C14DB6" w14:paraId="5EAF9F2A" w14:textId="77777777" w:rsidTr="00C14DB6">
        <w:tc>
          <w:tcPr>
            <w:tcW w:w="1878" w:type="dxa"/>
            <w:tcBorders>
              <w:right w:val="nil"/>
            </w:tcBorders>
            <w:shd w:val="clear" w:color="auto" w:fill="auto"/>
            <w:vAlign w:val="center"/>
          </w:tcPr>
          <w:p w14:paraId="385AA0BF" w14:textId="77777777" w:rsidR="00B944B2" w:rsidRPr="00C14DB6" w:rsidRDefault="00B944B2" w:rsidP="00C14DB6">
            <w:pPr>
              <w:pStyle w:val="MDPI42tablebody"/>
              <w:autoSpaceDE w:val="0"/>
              <w:autoSpaceDN w:val="0"/>
              <w:rPr>
                <w:sz w:val="18"/>
                <w:szCs w:val="18"/>
              </w:rPr>
            </w:pPr>
            <w:r w:rsidRPr="00C14DB6">
              <w:rPr>
                <w:sz w:val="18"/>
                <w:szCs w:val="18"/>
              </w:rPr>
              <w:t>post-stress</w:t>
            </w:r>
          </w:p>
        </w:tc>
        <w:tc>
          <w:tcPr>
            <w:tcW w:w="745" w:type="dxa"/>
            <w:tcBorders>
              <w:left w:val="nil"/>
              <w:right w:val="nil"/>
            </w:tcBorders>
            <w:shd w:val="clear" w:color="auto" w:fill="auto"/>
            <w:vAlign w:val="center"/>
          </w:tcPr>
          <w:p w14:paraId="07D59DF3" w14:textId="77777777" w:rsidR="00B944B2" w:rsidRPr="00C14DB6" w:rsidRDefault="00B944B2" w:rsidP="00C14DB6">
            <w:pPr>
              <w:pStyle w:val="MDPI42tablebody"/>
              <w:autoSpaceDE w:val="0"/>
              <w:autoSpaceDN w:val="0"/>
              <w:rPr>
                <w:sz w:val="18"/>
                <w:szCs w:val="18"/>
              </w:rPr>
            </w:pPr>
            <w:r w:rsidRPr="00C14DB6">
              <w:rPr>
                <w:sz w:val="18"/>
                <w:szCs w:val="18"/>
              </w:rPr>
              <w:t>1.23</w:t>
            </w:r>
          </w:p>
        </w:tc>
        <w:tc>
          <w:tcPr>
            <w:tcW w:w="746" w:type="dxa"/>
            <w:tcBorders>
              <w:left w:val="nil"/>
              <w:right w:val="nil"/>
            </w:tcBorders>
            <w:shd w:val="clear" w:color="auto" w:fill="auto"/>
            <w:vAlign w:val="center"/>
          </w:tcPr>
          <w:p w14:paraId="29192F99" w14:textId="77777777" w:rsidR="00B944B2" w:rsidRPr="00C14DB6" w:rsidRDefault="00B944B2" w:rsidP="00C14DB6">
            <w:pPr>
              <w:pStyle w:val="MDPI42tablebody"/>
              <w:autoSpaceDE w:val="0"/>
              <w:autoSpaceDN w:val="0"/>
              <w:rPr>
                <w:sz w:val="18"/>
                <w:szCs w:val="18"/>
              </w:rPr>
            </w:pPr>
            <w:r w:rsidRPr="00C14DB6">
              <w:rPr>
                <w:sz w:val="18"/>
                <w:szCs w:val="18"/>
              </w:rPr>
              <w:t>0.30</w:t>
            </w:r>
          </w:p>
        </w:tc>
        <w:tc>
          <w:tcPr>
            <w:tcW w:w="745" w:type="dxa"/>
            <w:tcBorders>
              <w:left w:val="nil"/>
              <w:right w:val="nil"/>
            </w:tcBorders>
            <w:shd w:val="clear" w:color="auto" w:fill="auto"/>
            <w:vAlign w:val="center"/>
          </w:tcPr>
          <w:p w14:paraId="4643BC86" w14:textId="77777777" w:rsidR="00B944B2" w:rsidRPr="00C14DB6" w:rsidRDefault="00B944B2" w:rsidP="00C14DB6">
            <w:pPr>
              <w:pStyle w:val="MDPI42tablebody"/>
              <w:autoSpaceDE w:val="0"/>
              <w:autoSpaceDN w:val="0"/>
              <w:rPr>
                <w:sz w:val="18"/>
                <w:szCs w:val="18"/>
              </w:rPr>
            </w:pPr>
            <w:r w:rsidRPr="00C14DB6">
              <w:rPr>
                <w:sz w:val="18"/>
                <w:szCs w:val="18"/>
              </w:rPr>
              <w:t>1.23</w:t>
            </w:r>
          </w:p>
        </w:tc>
        <w:tc>
          <w:tcPr>
            <w:tcW w:w="747" w:type="dxa"/>
            <w:tcBorders>
              <w:left w:val="nil"/>
              <w:right w:val="nil"/>
            </w:tcBorders>
            <w:shd w:val="clear" w:color="auto" w:fill="auto"/>
            <w:vAlign w:val="center"/>
          </w:tcPr>
          <w:p w14:paraId="2FA44682" w14:textId="77777777" w:rsidR="00B944B2" w:rsidRPr="00C14DB6" w:rsidRDefault="00B944B2" w:rsidP="00C14DB6">
            <w:pPr>
              <w:pStyle w:val="MDPI42tablebody"/>
              <w:autoSpaceDE w:val="0"/>
              <w:autoSpaceDN w:val="0"/>
              <w:rPr>
                <w:sz w:val="18"/>
                <w:szCs w:val="18"/>
              </w:rPr>
            </w:pPr>
            <w:r w:rsidRPr="00C14DB6">
              <w:rPr>
                <w:sz w:val="18"/>
                <w:szCs w:val="18"/>
              </w:rPr>
              <w:t>0.33</w:t>
            </w:r>
          </w:p>
        </w:tc>
        <w:tc>
          <w:tcPr>
            <w:tcW w:w="746" w:type="dxa"/>
            <w:tcBorders>
              <w:left w:val="nil"/>
              <w:right w:val="nil"/>
            </w:tcBorders>
            <w:shd w:val="clear" w:color="auto" w:fill="auto"/>
            <w:vAlign w:val="center"/>
          </w:tcPr>
          <w:p w14:paraId="4C31BD4C" w14:textId="77777777" w:rsidR="00B944B2" w:rsidRPr="00C14DB6" w:rsidRDefault="00B944B2" w:rsidP="00C14DB6">
            <w:pPr>
              <w:pStyle w:val="MDPI42tablebody"/>
              <w:autoSpaceDE w:val="0"/>
              <w:autoSpaceDN w:val="0"/>
              <w:rPr>
                <w:sz w:val="18"/>
                <w:szCs w:val="18"/>
              </w:rPr>
            </w:pPr>
            <w:r w:rsidRPr="00C14DB6">
              <w:rPr>
                <w:sz w:val="18"/>
                <w:szCs w:val="18"/>
              </w:rPr>
              <w:t>1.41</w:t>
            </w:r>
          </w:p>
        </w:tc>
        <w:tc>
          <w:tcPr>
            <w:tcW w:w="745" w:type="dxa"/>
            <w:tcBorders>
              <w:left w:val="nil"/>
              <w:right w:val="nil"/>
            </w:tcBorders>
            <w:shd w:val="clear" w:color="auto" w:fill="auto"/>
            <w:vAlign w:val="center"/>
          </w:tcPr>
          <w:p w14:paraId="2B37DECF" w14:textId="77777777" w:rsidR="00B944B2" w:rsidRPr="00C14DB6" w:rsidRDefault="00B944B2" w:rsidP="00C14DB6">
            <w:pPr>
              <w:pStyle w:val="MDPI42tablebody"/>
              <w:autoSpaceDE w:val="0"/>
              <w:autoSpaceDN w:val="0"/>
              <w:rPr>
                <w:sz w:val="18"/>
                <w:szCs w:val="18"/>
              </w:rPr>
            </w:pPr>
            <w:r w:rsidRPr="00C14DB6">
              <w:rPr>
                <w:sz w:val="18"/>
                <w:szCs w:val="18"/>
              </w:rPr>
              <w:t>0.48</w:t>
            </w:r>
          </w:p>
        </w:tc>
        <w:tc>
          <w:tcPr>
            <w:tcW w:w="746" w:type="dxa"/>
            <w:tcBorders>
              <w:left w:val="nil"/>
              <w:right w:val="nil"/>
            </w:tcBorders>
            <w:shd w:val="clear" w:color="auto" w:fill="auto"/>
            <w:vAlign w:val="center"/>
          </w:tcPr>
          <w:p w14:paraId="196B68A5" w14:textId="77777777" w:rsidR="00B944B2" w:rsidRPr="00C14DB6" w:rsidRDefault="00B944B2" w:rsidP="00C14DB6">
            <w:pPr>
              <w:pStyle w:val="MDPI42tablebody"/>
              <w:autoSpaceDE w:val="0"/>
              <w:autoSpaceDN w:val="0"/>
              <w:rPr>
                <w:sz w:val="18"/>
                <w:szCs w:val="18"/>
              </w:rPr>
            </w:pPr>
            <w:r w:rsidRPr="00C14DB6">
              <w:rPr>
                <w:sz w:val="18"/>
                <w:szCs w:val="18"/>
              </w:rPr>
              <w:t>1.32</w:t>
            </w:r>
          </w:p>
        </w:tc>
        <w:tc>
          <w:tcPr>
            <w:tcW w:w="759" w:type="dxa"/>
            <w:gridSpan w:val="2"/>
            <w:tcBorders>
              <w:left w:val="nil"/>
            </w:tcBorders>
            <w:shd w:val="clear" w:color="auto" w:fill="auto"/>
            <w:vAlign w:val="center"/>
          </w:tcPr>
          <w:p w14:paraId="489A3352" w14:textId="77777777" w:rsidR="00B944B2" w:rsidRPr="00C14DB6" w:rsidRDefault="00B944B2" w:rsidP="00C14DB6">
            <w:pPr>
              <w:pStyle w:val="MDPI42tablebody"/>
              <w:autoSpaceDE w:val="0"/>
              <w:autoSpaceDN w:val="0"/>
              <w:rPr>
                <w:sz w:val="18"/>
                <w:szCs w:val="18"/>
              </w:rPr>
            </w:pPr>
            <w:r w:rsidRPr="00C14DB6">
              <w:rPr>
                <w:sz w:val="18"/>
                <w:szCs w:val="18"/>
              </w:rPr>
              <w:t>0.36</w:t>
            </w:r>
          </w:p>
        </w:tc>
      </w:tr>
      <w:tr w:rsidR="00B944B2" w:rsidRPr="00C14DB6" w14:paraId="6A8EE801" w14:textId="77777777" w:rsidTr="00C14DB6">
        <w:tc>
          <w:tcPr>
            <w:tcW w:w="1878" w:type="dxa"/>
            <w:tcBorders>
              <w:right w:val="nil"/>
            </w:tcBorders>
            <w:shd w:val="clear" w:color="auto" w:fill="auto"/>
            <w:vAlign w:val="center"/>
          </w:tcPr>
          <w:p w14:paraId="1279E7F3" w14:textId="77777777" w:rsidR="00B944B2" w:rsidRPr="00C14DB6" w:rsidRDefault="00B944B2" w:rsidP="00C14DB6">
            <w:pPr>
              <w:pStyle w:val="MDPI42tablebody"/>
              <w:autoSpaceDE w:val="0"/>
              <w:autoSpaceDN w:val="0"/>
              <w:rPr>
                <w:sz w:val="18"/>
                <w:szCs w:val="18"/>
              </w:rPr>
            </w:pPr>
            <w:r w:rsidRPr="00C14DB6">
              <w:rPr>
                <w:sz w:val="18"/>
                <w:szCs w:val="18"/>
                <w:u w:val="single"/>
              </w:rPr>
              <w:t>Anger [ESR]</w:t>
            </w:r>
          </w:p>
        </w:tc>
        <w:tc>
          <w:tcPr>
            <w:tcW w:w="745" w:type="dxa"/>
            <w:tcBorders>
              <w:left w:val="nil"/>
              <w:right w:val="nil"/>
            </w:tcBorders>
            <w:shd w:val="clear" w:color="auto" w:fill="auto"/>
            <w:vAlign w:val="center"/>
          </w:tcPr>
          <w:p w14:paraId="69C41903"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230069B9" w14:textId="77777777" w:rsidR="00B944B2" w:rsidRPr="00C14DB6" w:rsidRDefault="00B944B2" w:rsidP="00C14DB6">
            <w:pPr>
              <w:pStyle w:val="MDPI42tablebody"/>
              <w:autoSpaceDE w:val="0"/>
              <w:autoSpaceDN w:val="0"/>
              <w:rPr>
                <w:sz w:val="18"/>
                <w:szCs w:val="18"/>
              </w:rPr>
            </w:pPr>
          </w:p>
        </w:tc>
        <w:tc>
          <w:tcPr>
            <w:tcW w:w="745" w:type="dxa"/>
            <w:tcBorders>
              <w:left w:val="nil"/>
              <w:right w:val="nil"/>
            </w:tcBorders>
            <w:shd w:val="clear" w:color="auto" w:fill="auto"/>
            <w:vAlign w:val="center"/>
          </w:tcPr>
          <w:p w14:paraId="61E4ABAE" w14:textId="77777777" w:rsidR="00B944B2" w:rsidRPr="00C14DB6" w:rsidRDefault="00B944B2" w:rsidP="00C14DB6">
            <w:pPr>
              <w:pStyle w:val="MDPI42tablebody"/>
              <w:autoSpaceDE w:val="0"/>
              <w:autoSpaceDN w:val="0"/>
              <w:rPr>
                <w:sz w:val="18"/>
                <w:szCs w:val="18"/>
              </w:rPr>
            </w:pPr>
          </w:p>
        </w:tc>
        <w:tc>
          <w:tcPr>
            <w:tcW w:w="747" w:type="dxa"/>
            <w:tcBorders>
              <w:left w:val="nil"/>
              <w:right w:val="nil"/>
            </w:tcBorders>
            <w:shd w:val="clear" w:color="auto" w:fill="auto"/>
            <w:vAlign w:val="center"/>
          </w:tcPr>
          <w:p w14:paraId="1C9B2B5F"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07DBAA57" w14:textId="77777777" w:rsidR="00B944B2" w:rsidRPr="00C14DB6" w:rsidRDefault="00B944B2" w:rsidP="00C14DB6">
            <w:pPr>
              <w:pStyle w:val="MDPI42tablebody"/>
              <w:autoSpaceDE w:val="0"/>
              <w:autoSpaceDN w:val="0"/>
              <w:rPr>
                <w:sz w:val="18"/>
                <w:szCs w:val="18"/>
              </w:rPr>
            </w:pPr>
          </w:p>
        </w:tc>
        <w:tc>
          <w:tcPr>
            <w:tcW w:w="745" w:type="dxa"/>
            <w:tcBorders>
              <w:left w:val="nil"/>
              <w:right w:val="nil"/>
            </w:tcBorders>
            <w:shd w:val="clear" w:color="auto" w:fill="auto"/>
            <w:vAlign w:val="center"/>
          </w:tcPr>
          <w:p w14:paraId="11228262" w14:textId="77777777" w:rsidR="00B944B2" w:rsidRPr="00C14DB6" w:rsidRDefault="00B944B2" w:rsidP="00C14DB6">
            <w:pPr>
              <w:pStyle w:val="MDPI42tablebody"/>
              <w:autoSpaceDE w:val="0"/>
              <w:autoSpaceDN w:val="0"/>
              <w:rPr>
                <w:sz w:val="18"/>
                <w:szCs w:val="18"/>
              </w:rPr>
            </w:pPr>
          </w:p>
        </w:tc>
        <w:tc>
          <w:tcPr>
            <w:tcW w:w="746" w:type="dxa"/>
            <w:tcBorders>
              <w:left w:val="nil"/>
              <w:right w:val="nil"/>
            </w:tcBorders>
            <w:shd w:val="clear" w:color="auto" w:fill="auto"/>
            <w:vAlign w:val="center"/>
          </w:tcPr>
          <w:p w14:paraId="73F0949C" w14:textId="77777777" w:rsidR="00B944B2" w:rsidRPr="00C14DB6" w:rsidRDefault="00B944B2" w:rsidP="00C14DB6">
            <w:pPr>
              <w:pStyle w:val="MDPI42tablebody"/>
              <w:autoSpaceDE w:val="0"/>
              <w:autoSpaceDN w:val="0"/>
              <w:rPr>
                <w:sz w:val="18"/>
                <w:szCs w:val="18"/>
              </w:rPr>
            </w:pPr>
          </w:p>
        </w:tc>
        <w:tc>
          <w:tcPr>
            <w:tcW w:w="759" w:type="dxa"/>
            <w:gridSpan w:val="2"/>
            <w:tcBorders>
              <w:left w:val="nil"/>
            </w:tcBorders>
            <w:shd w:val="clear" w:color="auto" w:fill="auto"/>
            <w:vAlign w:val="center"/>
          </w:tcPr>
          <w:p w14:paraId="6F82088C" w14:textId="77777777" w:rsidR="00B944B2" w:rsidRPr="00C14DB6" w:rsidRDefault="00B944B2" w:rsidP="00C14DB6">
            <w:pPr>
              <w:pStyle w:val="MDPI42tablebody"/>
              <w:autoSpaceDE w:val="0"/>
              <w:autoSpaceDN w:val="0"/>
              <w:rPr>
                <w:sz w:val="18"/>
                <w:szCs w:val="18"/>
              </w:rPr>
            </w:pPr>
          </w:p>
        </w:tc>
      </w:tr>
      <w:tr w:rsidR="00B944B2" w:rsidRPr="00C14DB6" w14:paraId="335F5B5B" w14:textId="77777777" w:rsidTr="00C14DB6">
        <w:tc>
          <w:tcPr>
            <w:tcW w:w="1878" w:type="dxa"/>
            <w:tcBorders>
              <w:right w:val="nil"/>
            </w:tcBorders>
            <w:shd w:val="clear" w:color="auto" w:fill="auto"/>
            <w:vAlign w:val="center"/>
          </w:tcPr>
          <w:p w14:paraId="07676607" w14:textId="77777777" w:rsidR="00B944B2" w:rsidRPr="00C14DB6" w:rsidRDefault="00B944B2" w:rsidP="00C14DB6">
            <w:pPr>
              <w:pStyle w:val="MDPI42tablebody"/>
              <w:autoSpaceDE w:val="0"/>
              <w:autoSpaceDN w:val="0"/>
              <w:rPr>
                <w:sz w:val="18"/>
                <w:szCs w:val="18"/>
              </w:rPr>
            </w:pPr>
            <w:r w:rsidRPr="00C14DB6">
              <w:rPr>
                <w:sz w:val="18"/>
                <w:szCs w:val="18"/>
              </w:rPr>
              <w:t>pre-stress</w:t>
            </w:r>
          </w:p>
        </w:tc>
        <w:tc>
          <w:tcPr>
            <w:tcW w:w="745" w:type="dxa"/>
            <w:tcBorders>
              <w:left w:val="nil"/>
              <w:right w:val="nil"/>
            </w:tcBorders>
            <w:shd w:val="clear" w:color="auto" w:fill="auto"/>
            <w:vAlign w:val="center"/>
          </w:tcPr>
          <w:p w14:paraId="24C1D118" w14:textId="77777777" w:rsidR="00B944B2" w:rsidRPr="00C14DB6" w:rsidRDefault="00B944B2" w:rsidP="00C14DB6">
            <w:pPr>
              <w:pStyle w:val="MDPI42tablebody"/>
              <w:autoSpaceDE w:val="0"/>
              <w:autoSpaceDN w:val="0"/>
              <w:rPr>
                <w:sz w:val="18"/>
                <w:szCs w:val="18"/>
              </w:rPr>
            </w:pPr>
            <w:r w:rsidRPr="00C14DB6">
              <w:rPr>
                <w:sz w:val="18"/>
                <w:szCs w:val="18"/>
              </w:rPr>
              <w:t>1.08</w:t>
            </w:r>
          </w:p>
        </w:tc>
        <w:tc>
          <w:tcPr>
            <w:tcW w:w="746" w:type="dxa"/>
            <w:tcBorders>
              <w:left w:val="nil"/>
              <w:right w:val="nil"/>
            </w:tcBorders>
            <w:shd w:val="clear" w:color="auto" w:fill="auto"/>
            <w:vAlign w:val="center"/>
          </w:tcPr>
          <w:p w14:paraId="3A7F4230" w14:textId="77777777" w:rsidR="00B944B2" w:rsidRPr="00C14DB6" w:rsidRDefault="00B944B2" w:rsidP="00C14DB6">
            <w:pPr>
              <w:pStyle w:val="MDPI42tablebody"/>
              <w:autoSpaceDE w:val="0"/>
              <w:autoSpaceDN w:val="0"/>
              <w:rPr>
                <w:sz w:val="18"/>
                <w:szCs w:val="18"/>
              </w:rPr>
            </w:pPr>
            <w:r w:rsidRPr="00C14DB6">
              <w:rPr>
                <w:sz w:val="18"/>
                <w:szCs w:val="18"/>
              </w:rPr>
              <w:t>0.35</w:t>
            </w:r>
          </w:p>
        </w:tc>
        <w:tc>
          <w:tcPr>
            <w:tcW w:w="745" w:type="dxa"/>
            <w:tcBorders>
              <w:left w:val="nil"/>
              <w:right w:val="nil"/>
            </w:tcBorders>
            <w:shd w:val="clear" w:color="auto" w:fill="auto"/>
            <w:vAlign w:val="center"/>
          </w:tcPr>
          <w:p w14:paraId="3F1AF551" w14:textId="77777777" w:rsidR="00B944B2" w:rsidRPr="00C14DB6" w:rsidRDefault="00B944B2" w:rsidP="00C14DB6">
            <w:pPr>
              <w:pStyle w:val="MDPI42tablebody"/>
              <w:autoSpaceDE w:val="0"/>
              <w:autoSpaceDN w:val="0"/>
              <w:rPr>
                <w:sz w:val="18"/>
                <w:szCs w:val="18"/>
              </w:rPr>
            </w:pPr>
            <w:r w:rsidRPr="00C14DB6">
              <w:rPr>
                <w:sz w:val="18"/>
                <w:szCs w:val="18"/>
              </w:rPr>
              <w:t>1.24</w:t>
            </w:r>
          </w:p>
        </w:tc>
        <w:tc>
          <w:tcPr>
            <w:tcW w:w="747" w:type="dxa"/>
            <w:tcBorders>
              <w:left w:val="nil"/>
              <w:right w:val="nil"/>
            </w:tcBorders>
            <w:shd w:val="clear" w:color="auto" w:fill="auto"/>
            <w:vAlign w:val="center"/>
          </w:tcPr>
          <w:p w14:paraId="08420204" w14:textId="77777777" w:rsidR="00B944B2" w:rsidRPr="00C14DB6" w:rsidRDefault="00B944B2" w:rsidP="00C14DB6">
            <w:pPr>
              <w:pStyle w:val="MDPI42tablebody"/>
              <w:autoSpaceDE w:val="0"/>
              <w:autoSpaceDN w:val="0"/>
              <w:rPr>
                <w:sz w:val="18"/>
                <w:szCs w:val="18"/>
              </w:rPr>
            </w:pPr>
            <w:r w:rsidRPr="00C14DB6">
              <w:rPr>
                <w:sz w:val="18"/>
                <w:szCs w:val="18"/>
              </w:rPr>
              <w:t>0.56</w:t>
            </w:r>
          </w:p>
        </w:tc>
        <w:tc>
          <w:tcPr>
            <w:tcW w:w="746" w:type="dxa"/>
            <w:tcBorders>
              <w:left w:val="nil"/>
              <w:right w:val="nil"/>
            </w:tcBorders>
            <w:shd w:val="clear" w:color="auto" w:fill="auto"/>
            <w:vAlign w:val="center"/>
          </w:tcPr>
          <w:p w14:paraId="675401E8" w14:textId="77777777" w:rsidR="00B944B2" w:rsidRPr="00C14DB6" w:rsidRDefault="00B944B2" w:rsidP="00C14DB6">
            <w:pPr>
              <w:pStyle w:val="MDPI42tablebody"/>
              <w:autoSpaceDE w:val="0"/>
              <w:autoSpaceDN w:val="0"/>
              <w:rPr>
                <w:sz w:val="18"/>
                <w:szCs w:val="18"/>
              </w:rPr>
            </w:pPr>
            <w:r w:rsidRPr="00C14DB6">
              <w:rPr>
                <w:sz w:val="18"/>
                <w:szCs w:val="18"/>
              </w:rPr>
              <w:t>1.10</w:t>
            </w:r>
          </w:p>
        </w:tc>
        <w:tc>
          <w:tcPr>
            <w:tcW w:w="745" w:type="dxa"/>
            <w:tcBorders>
              <w:left w:val="nil"/>
              <w:right w:val="nil"/>
            </w:tcBorders>
            <w:shd w:val="clear" w:color="auto" w:fill="auto"/>
            <w:vAlign w:val="center"/>
          </w:tcPr>
          <w:p w14:paraId="1CDA12CD" w14:textId="77777777" w:rsidR="00B944B2" w:rsidRPr="00C14DB6" w:rsidRDefault="00B944B2" w:rsidP="00C14DB6">
            <w:pPr>
              <w:pStyle w:val="MDPI42tablebody"/>
              <w:autoSpaceDE w:val="0"/>
              <w:autoSpaceDN w:val="0"/>
              <w:rPr>
                <w:sz w:val="18"/>
                <w:szCs w:val="18"/>
              </w:rPr>
            </w:pPr>
            <w:r w:rsidRPr="00C14DB6">
              <w:rPr>
                <w:sz w:val="18"/>
                <w:szCs w:val="18"/>
              </w:rPr>
              <w:t>0.30</w:t>
            </w:r>
          </w:p>
        </w:tc>
        <w:tc>
          <w:tcPr>
            <w:tcW w:w="746" w:type="dxa"/>
            <w:tcBorders>
              <w:left w:val="nil"/>
              <w:right w:val="nil"/>
            </w:tcBorders>
            <w:shd w:val="clear" w:color="auto" w:fill="auto"/>
            <w:vAlign w:val="center"/>
          </w:tcPr>
          <w:p w14:paraId="750FFD10" w14:textId="77777777" w:rsidR="00B944B2" w:rsidRPr="00C14DB6" w:rsidRDefault="00B944B2" w:rsidP="00C14DB6">
            <w:pPr>
              <w:pStyle w:val="MDPI42tablebody"/>
              <w:autoSpaceDE w:val="0"/>
              <w:autoSpaceDN w:val="0"/>
              <w:rPr>
                <w:sz w:val="18"/>
                <w:szCs w:val="18"/>
              </w:rPr>
            </w:pPr>
            <w:r w:rsidRPr="00C14DB6">
              <w:rPr>
                <w:sz w:val="18"/>
                <w:szCs w:val="18"/>
              </w:rPr>
              <w:t>1.12</w:t>
            </w:r>
          </w:p>
        </w:tc>
        <w:tc>
          <w:tcPr>
            <w:tcW w:w="759" w:type="dxa"/>
            <w:gridSpan w:val="2"/>
            <w:tcBorders>
              <w:left w:val="nil"/>
            </w:tcBorders>
            <w:shd w:val="clear" w:color="auto" w:fill="auto"/>
            <w:vAlign w:val="center"/>
          </w:tcPr>
          <w:p w14:paraId="016C50AB" w14:textId="77777777" w:rsidR="00B944B2" w:rsidRPr="00C14DB6" w:rsidRDefault="00B944B2" w:rsidP="00C14DB6">
            <w:pPr>
              <w:pStyle w:val="MDPI42tablebody"/>
              <w:autoSpaceDE w:val="0"/>
              <w:autoSpaceDN w:val="0"/>
              <w:rPr>
                <w:sz w:val="18"/>
                <w:szCs w:val="18"/>
              </w:rPr>
            </w:pPr>
            <w:r w:rsidRPr="00C14DB6">
              <w:rPr>
                <w:sz w:val="18"/>
                <w:szCs w:val="18"/>
              </w:rPr>
              <w:t>0.33</w:t>
            </w:r>
          </w:p>
        </w:tc>
      </w:tr>
      <w:tr w:rsidR="00B944B2" w:rsidRPr="00C14DB6" w14:paraId="4302AA8B" w14:textId="77777777" w:rsidTr="00C14DB6">
        <w:tc>
          <w:tcPr>
            <w:tcW w:w="1878" w:type="dxa"/>
            <w:tcBorders>
              <w:bottom w:val="single" w:sz="8" w:space="0" w:color="auto"/>
              <w:right w:val="nil"/>
            </w:tcBorders>
            <w:shd w:val="clear" w:color="auto" w:fill="auto"/>
            <w:vAlign w:val="center"/>
          </w:tcPr>
          <w:p w14:paraId="6C40847A" w14:textId="77777777" w:rsidR="00B944B2" w:rsidRPr="00C14DB6" w:rsidRDefault="00B944B2" w:rsidP="00C14DB6">
            <w:pPr>
              <w:pStyle w:val="MDPI42tablebody"/>
              <w:autoSpaceDE w:val="0"/>
              <w:autoSpaceDN w:val="0"/>
              <w:rPr>
                <w:sz w:val="18"/>
                <w:szCs w:val="18"/>
              </w:rPr>
            </w:pPr>
            <w:r w:rsidRPr="00C14DB6">
              <w:rPr>
                <w:sz w:val="18"/>
                <w:szCs w:val="18"/>
              </w:rPr>
              <w:t>post-stress</w:t>
            </w:r>
          </w:p>
        </w:tc>
        <w:tc>
          <w:tcPr>
            <w:tcW w:w="745" w:type="dxa"/>
            <w:tcBorders>
              <w:left w:val="nil"/>
              <w:bottom w:val="single" w:sz="8" w:space="0" w:color="auto"/>
              <w:right w:val="nil"/>
            </w:tcBorders>
            <w:shd w:val="clear" w:color="auto" w:fill="auto"/>
            <w:vAlign w:val="center"/>
          </w:tcPr>
          <w:p w14:paraId="02274089" w14:textId="77777777" w:rsidR="00B944B2" w:rsidRPr="00C14DB6" w:rsidRDefault="00B944B2" w:rsidP="00C14DB6">
            <w:pPr>
              <w:pStyle w:val="MDPI42tablebody"/>
              <w:autoSpaceDE w:val="0"/>
              <w:autoSpaceDN w:val="0"/>
              <w:rPr>
                <w:sz w:val="18"/>
                <w:szCs w:val="18"/>
              </w:rPr>
            </w:pPr>
            <w:r w:rsidRPr="00C14DB6">
              <w:rPr>
                <w:sz w:val="18"/>
                <w:szCs w:val="18"/>
              </w:rPr>
              <w:t>1.25</w:t>
            </w:r>
          </w:p>
        </w:tc>
        <w:tc>
          <w:tcPr>
            <w:tcW w:w="746" w:type="dxa"/>
            <w:tcBorders>
              <w:left w:val="nil"/>
              <w:bottom w:val="single" w:sz="8" w:space="0" w:color="auto"/>
              <w:right w:val="nil"/>
            </w:tcBorders>
            <w:shd w:val="clear" w:color="auto" w:fill="auto"/>
            <w:vAlign w:val="center"/>
          </w:tcPr>
          <w:p w14:paraId="36E37B8C" w14:textId="77777777" w:rsidR="00B944B2" w:rsidRPr="00C14DB6" w:rsidRDefault="00B944B2" w:rsidP="00C14DB6">
            <w:pPr>
              <w:pStyle w:val="MDPI42tablebody"/>
              <w:autoSpaceDE w:val="0"/>
              <w:autoSpaceDN w:val="0"/>
              <w:rPr>
                <w:sz w:val="18"/>
                <w:szCs w:val="18"/>
              </w:rPr>
            </w:pPr>
            <w:r w:rsidRPr="00C14DB6">
              <w:rPr>
                <w:sz w:val="18"/>
                <w:szCs w:val="18"/>
              </w:rPr>
              <w:t>0.54</w:t>
            </w:r>
          </w:p>
        </w:tc>
        <w:tc>
          <w:tcPr>
            <w:tcW w:w="745" w:type="dxa"/>
            <w:tcBorders>
              <w:left w:val="nil"/>
              <w:bottom w:val="single" w:sz="8" w:space="0" w:color="auto"/>
              <w:right w:val="nil"/>
            </w:tcBorders>
            <w:shd w:val="clear" w:color="auto" w:fill="auto"/>
            <w:vAlign w:val="center"/>
          </w:tcPr>
          <w:p w14:paraId="5007710B" w14:textId="77777777" w:rsidR="00B944B2" w:rsidRPr="00C14DB6" w:rsidRDefault="00B944B2" w:rsidP="00C14DB6">
            <w:pPr>
              <w:pStyle w:val="MDPI42tablebody"/>
              <w:autoSpaceDE w:val="0"/>
              <w:autoSpaceDN w:val="0"/>
              <w:rPr>
                <w:sz w:val="18"/>
                <w:szCs w:val="18"/>
              </w:rPr>
            </w:pPr>
            <w:r w:rsidRPr="00C14DB6">
              <w:rPr>
                <w:sz w:val="18"/>
                <w:szCs w:val="18"/>
              </w:rPr>
              <w:t>1.48</w:t>
            </w:r>
          </w:p>
        </w:tc>
        <w:tc>
          <w:tcPr>
            <w:tcW w:w="747" w:type="dxa"/>
            <w:tcBorders>
              <w:left w:val="nil"/>
              <w:bottom w:val="single" w:sz="8" w:space="0" w:color="auto"/>
              <w:right w:val="nil"/>
            </w:tcBorders>
            <w:shd w:val="clear" w:color="auto" w:fill="auto"/>
            <w:vAlign w:val="center"/>
          </w:tcPr>
          <w:p w14:paraId="488892E7" w14:textId="77777777" w:rsidR="00B944B2" w:rsidRPr="00C14DB6" w:rsidRDefault="00B944B2" w:rsidP="00C14DB6">
            <w:pPr>
              <w:pStyle w:val="MDPI42tablebody"/>
              <w:autoSpaceDE w:val="0"/>
              <w:autoSpaceDN w:val="0"/>
              <w:rPr>
                <w:sz w:val="18"/>
                <w:szCs w:val="18"/>
              </w:rPr>
            </w:pPr>
            <w:r w:rsidRPr="00C14DB6">
              <w:rPr>
                <w:sz w:val="18"/>
                <w:szCs w:val="18"/>
              </w:rPr>
              <w:t>0.80</w:t>
            </w:r>
          </w:p>
        </w:tc>
        <w:tc>
          <w:tcPr>
            <w:tcW w:w="746" w:type="dxa"/>
            <w:tcBorders>
              <w:left w:val="nil"/>
              <w:bottom w:val="single" w:sz="8" w:space="0" w:color="auto"/>
              <w:right w:val="nil"/>
            </w:tcBorders>
            <w:shd w:val="clear" w:color="auto" w:fill="auto"/>
            <w:vAlign w:val="center"/>
          </w:tcPr>
          <w:p w14:paraId="3A7894F0" w14:textId="77777777" w:rsidR="00B944B2" w:rsidRPr="00C14DB6" w:rsidRDefault="00B944B2" w:rsidP="00C14DB6">
            <w:pPr>
              <w:pStyle w:val="MDPI42tablebody"/>
              <w:autoSpaceDE w:val="0"/>
              <w:autoSpaceDN w:val="0"/>
              <w:rPr>
                <w:sz w:val="18"/>
                <w:szCs w:val="18"/>
              </w:rPr>
            </w:pPr>
            <w:r w:rsidRPr="00C14DB6">
              <w:rPr>
                <w:sz w:val="18"/>
                <w:szCs w:val="18"/>
              </w:rPr>
              <w:t>1.90</w:t>
            </w:r>
          </w:p>
        </w:tc>
        <w:tc>
          <w:tcPr>
            <w:tcW w:w="745" w:type="dxa"/>
            <w:tcBorders>
              <w:left w:val="nil"/>
              <w:bottom w:val="single" w:sz="8" w:space="0" w:color="auto"/>
              <w:right w:val="nil"/>
            </w:tcBorders>
            <w:shd w:val="clear" w:color="auto" w:fill="auto"/>
            <w:vAlign w:val="center"/>
          </w:tcPr>
          <w:p w14:paraId="3EF6A00B" w14:textId="77777777" w:rsidR="00B944B2" w:rsidRPr="00C14DB6" w:rsidRDefault="00B944B2" w:rsidP="00C14DB6">
            <w:pPr>
              <w:pStyle w:val="MDPI42tablebody"/>
              <w:autoSpaceDE w:val="0"/>
              <w:autoSpaceDN w:val="0"/>
              <w:rPr>
                <w:sz w:val="18"/>
                <w:szCs w:val="18"/>
              </w:rPr>
            </w:pPr>
            <w:r w:rsidRPr="00C14DB6">
              <w:rPr>
                <w:sz w:val="18"/>
                <w:szCs w:val="18"/>
              </w:rPr>
              <w:t>1.13</w:t>
            </w:r>
          </w:p>
        </w:tc>
        <w:tc>
          <w:tcPr>
            <w:tcW w:w="746" w:type="dxa"/>
            <w:tcBorders>
              <w:left w:val="nil"/>
              <w:bottom w:val="single" w:sz="8" w:space="0" w:color="auto"/>
              <w:right w:val="nil"/>
            </w:tcBorders>
            <w:shd w:val="clear" w:color="auto" w:fill="auto"/>
            <w:vAlign w:val="center"/>
          </w:tcPr>
          <w:p w14:paraId="16668C35" w14:textId="77777777" w:rsidR="00B944B2" w:rsidRPr="00C14DB6" w:rsidRDefault="00B944B2" w:rsidP="00C14DB6">
            <w:pPr>
              <w:pStyle w:val="MDPI42tablebody"/>
              <w:autoSpaceDE w:val="0"/>
              <w:autoSpaceDN w:val="0"/>
              <w:rPr>
                <w:sz w:val="18"/>
                <w:szCs w:val="18"/>
              </w:rPr>
            </w:pPr>
            <w:r w:rsidRPr="00C14DB6">
              <w:rPr>
                <w:sz w:val="18"/>
                <w:szCs w:val="18"/>
              </w:rPr>
              <w:t>1.88</w:t>
            </w:r>
          </w:p>
        </w:tc>
        <w:tc>
          <w:tcPr>
            <w:tcW w:w="759" w:type="dxa"/>
            <w:gridSpan w:val="2"/>
            <w:tcBorders>
              <w:left w:val="nil"/>
              <w:bottom w:val="single" w:sz="8" w:space="0" w:color="auto"/>
            </w:tcBorders>
            <w:shd w:val="clear" w:color="auto" w:fill="auto"/>
            <w:vAlign w:val="center"/>
          </w:tcPr>
          <w:p w14:paraId="771D884B" w14:textId="77777777" w:rsidR="00B944B2" w:rsidRPr="00C14DB6" w:rsidRDefault="00B944B2" w:rsidP="00C14DB6">
            <w:pPr>
              <w:pStyle w:val="MDPI42tablebody"/>
              <w:autoSpaceDE w:val="0"/>
              <w:autoSpaceDN w:val="0"/>
              <w:rPr>
                <w:sz w:val="18"/>
                <w:szCs w:val="18"/>
              </w:rPr>
            </w:pPr>
            <w:r w:rsidRPr="00C14DB6">
              <w:rPr>
                <w:sz w:val="18"/>
                <w:szCs w:val="18"/>
              </w:rPr>
              <w:t>1.05</w:t>
            </w:r>
          </w:p>
        </w:tc>
      </w:tr>
    </w:tbl>
    <w:p w14:paraId="46D10686" w14:textId="1B4561DA" w:rsidR="00B944B2" w:rsidRPr="00C14DB6" w:rsidRDefault="00B944B2" w:rsidP="00C14DB6">
      <w:pPr>
        <w:pStyle w:val="MDPI43tablefooter"/>
        <w:spacing w:after="240"/>
        <w:ind w:left="0"/>
      </w:pPr>
      <w:r w:rsidRPr="00C14DB6">
        <w:rPr>
          <w:b/>
          <w:bCs/>
        </w:rPr>
        <w:t>Note</w:t>
      </w:r>
      <w:r w:rsidRPr="00C14DB6">
        <w:t>. Abbreviations: SD = standard deviation; PANAS = Positive and Negative Affect Scale; ESR = Emotional Scale Rating.</w:t>
      </w:r>
    </w:p>
    <w:p w14:paraId="5BF42BE1" w14:textId="77777777" w:rsidR="00B944B2" w:rsidRPr="00C14DB6" w:rsidRDefault="00B944B2" w:rsidP="00C14DB6">
      <w:pPr>
        <w:pStyle w:val="MDPI21heading1"/>
        <w:ind w:left="0"/>
      </w:pPr>
      <w:r w:rsidRPr="00C14DB6">
        <w:t>References</w:t>
      </w:r>
    </w:p>
    <w:p w14:paraId="38892E8F" w14:textId="77777777" w:rsidR="0056609F" w:rsidRPr="00C14DB6" w:rsidRDefault="00B944B2" w:rsidP="00C14DB6">
      <w:pPr>
        <w:widowControl w:val="0"/>
        <w:autoSpaceDE w:val="0"/>
        <w:autoSpaceDN w:val="0"/>
        <w:adjustRightInd w:val="0"/>
        <w:rPr>
          <w:rFonts w:ascii="Times New Roman" w:hAnsi="Times New Roman"/>
          <w:color w:val="auto"/>
        </w:rPr>
      </w:pPr>
      <w:r w:rsidRPr="00C14DB6">
        <w:rPr>
          <w:sz w:val="18"/>
          <w:szCs w:val="22"/>
        </w:rPr>
        <w:fldChar w:fldCharType="begin"/>
      </w:r>
      <w:r w:rsidRPr="00C14DB6">
        <w:rPr>
          <w:sz w:val="18"/>
        </w:rPr>
        <w:instrText xml:space="preserve"> ADDIN ZOTERO_BIBL {"uncited":[],"omitted":[],"custom":[]} CSL_BIBLIOGRAPHY </w:instrText>
      </w:r>
      <w:r w:rsidRPr="00C14DB6">
        <w:rPr>
          <w:sz w:val="18"/>
          <w:szCs w:val="22"/>
        </w:rPr>
        <w:fldChar w:fldCharType="separate"/>
      </w:r>
      <w:r w:rsidR="0056609F" w:rsidRPr="00C14DB6">
        <w:rPr>
          <w:rFonts w:ascii="Times New Roman" w:hAnsi="Times New Roman"/>
          <w:color w:val="auto"/>
        </w:rPr>
        <w:t xml:space="preserve">1. </w:t>
      </w:r>
      <w:r w:rsidR="0056609F" w:rsidRPr="00C14DB6">
        <w:rPr>
          <w:rFonts w:ascii="Times New Roman" w:hAnsi="Times New Roman"/>
          <w:color w:val="auto"/>
        </w:rPr>
        <w:tab/>
        <w:t xml:space="preserve">Dickerson, S.S.; Kemeny, M.E. Acute Stressors and Cortisol Responses: A Theoretical Integration and Synthesis of Laboratory Research. </w:t>
      </w:r>
      <w:r w:rsidR="0056609F" w:rsidRPr="00C14DB6">
        <w:rPr>
          <w:rFonts w:ascii="Times New Roman" w:hAnsi="Times New Roman"/>
          <w:i/>
          <w:iCs/>
          <w:color w:val="auto"/>
        </w:rPr>
        <w:t>Psychological Bulletin</w:t>
      </w:r>
      <w:r w:rsidR="0056609F" w:rsidRPr="00C14DB6">
        <w:rPr>
          <w:rFonts w:ascii="Times New Roman" w:hAnsi="Times New Roman"/>
          <w:color w:val="auto"/>
        </w:rPr>
        <w:t xml:space="preserve"> </w:t>
      </w:r>
      <w:r w:rsidR="0056609F" w:rsidRPr="00C14DB6">
        <w:rPr>
          <w:rFonts w:ascii="Times New Roman" w:hAnsi="Times New Roman"/>
          <w:b/>
          <w:bCs/>
          <w:color w:val="auto"/>
        </w:rPr>
        <w:t>2004</w:t>
      </w:r>
      <w:r w:rsidR="0056609F" w:rsidRPr="00C14DB6">
        <w:rPr>
          <w:rFonts w:ascii="Times New Roman" w:hAnsi="Times New Roman"/>
          <w:color w:val="auto"/>
        </w:rPr>
        <w:t xml:space="preserve">, </w:t>
      </w:r>
      <w:r w:rsidR="0056609F" w:rsidRPr="00C14DB6">
        <w:rPr>
          <w:rFonts w:ascii="Times New Roman" w:hAnsi="Times New Roman"/>
          <w:i/>
          <w:iCs/>
          <w:color w:val="auto"/>
        </w:rPr>
        <w:t>130</w:t>
      </w:r>
      <w:r w:rsidR="0056609F" w:rsidRPr="00C14DB6">
        <w:rPr>
          <w:rFonts w:ascii="Times New Roman" w:hAnsi="Times New Roman"/>
          <w:color w:val="auto"/>
        </w:rPr>
        <w:t>, 355–391, doi:10.1037/0033-2909.130.3.355.</w:t>
      </w:r>
    </w:p>
    <w:p w14:paraId="01CC04B0"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2. </w:t>
      </w:r>
      <w:r w:rsidRPr="00C14DB6">
        <w:rPr>
          <w:rFonts w:ascii="Times New Roman" w:hAnsi="Times New Roman"/>
          <w:color w:val="auto"/>
        </w:rPr>
        <w:tab/>
        <w:t xml:space="preserve">Williams, K.D.; Jarvis, B. Cyberball: A Program for Use in Research on Interpersonal Ostracism and Acceptance. </w:t>
      </w:r>
      <w:r w:rsidRPr="00C14DB6">
        <w:rPr>
          <w:rFonts w:ascii="Times New Roman" w:hAnsi="Times New Roman"/>
          <w:i/>
          <w:iCs/>
          <w:color w:val="auto"/>
        </w:rPr>
        <w:t>Behavior research methods</w:t>
      </w:r>
      <w:r w:rsidRPr="00C14DB6">
        <w:rPr>
          <w:rFonts w:ascii="Times New Roman" w:hAnsi="Times New Roman"/>
          <w:color w:val="auto"/>
        </w:rPr>
        <w:t xml:space="preserve"> </w:t>
      </w:r>
      <w:r w:rsidRPr="00C14DB6">
        <w:rPr>
          <w:rFonts w:ascii="Times New Roman" w:hAnsi="Times New Roman"/>
          <w:b/>
          <w:bCs/>
          <w:color w:val="auto"/>
        </w:rPr>
        <w:t>2006</w:t>
      </w:r>
      <w:r w:rsidRPr="00C14DB6">
        <w:rPr>
          <w:rFonts w:ascii="Times New Roman" w:hAnsi="Times New Roman"/>
          <w:color w:val="auto"/>
        </w:rPr>
        <w:t xml:space="preserve">, </w:t>
      </w:r>
      <w:r w:rsidRPr="00C14DB6">
        <w:rPr>
          <w:rFonts w:ascii="Times New Roman" w:hAnsi="Times New Roman"/>
          <w:i/>
          <w:iCs/>
          <w:color w:val="auto"/>
        </w:rPr>
        <w:t>38</w:t>
      </w:r>
      <w:r w:rsidRPr="00C14DB6">
        <w:rPr>
          <w:rFonts w:ascii="Times New Roman" w:hAnsi="Times New Roman"/>
          <w:color w:val="auto"/>
        </w:rPr>
        <w:t>, 174–180, doi:10.3758/BF03192765.</w:t>
      </w:r>
    </w:p>
    <w:p w14:paraId="0ADC7429"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3. </w:t>
      </w:r>
      <w:r w:rsidRPr="00C14DB6">
        <w:rPr>
          <w:rFonts w:ascii="Times New Roman" w:hAnsi="Times New Roman"/>
          <w:color w:val="auto"/>
        </w:rPr>
        <w:tab/>
        <w:t xml:space="preserve">Dedovic, K.; Renwick, R.; Mahani, N.K.; Engert, V.; Lupien, S.J.; Pruessner, J.C. The Montreal Imaging Stress Task: Using Functional Imaging to Investigate the Effects of Perceiving and Processing Psychosocial Stress in the Human Brain. </w:t>
      </w:r>
      <w:r w:rsidRPr="00C14DB6">
        <w:rPr>
          <w:rFonts w:ascii="Times New Roman" w:hAnsi="Times New Roman"/>
          <w:i/>
          <w:iCs/>
          <w:color w:val="auto"/>
        </w:rPr>
        <w:t>Journal of psychiatry &amp; neuroscience : JPN</w:t>
      </w:r>
      <w:r w:rsidRPr="00C14DB6">
        <w:rPr>
          <w:rFonts w:ascii="Times New Roman" w:hAnsi="Times New Roman"/>
          <w:color w:val="auto"/>
        </w:rPr>
        <w:t xml:space="preserve"> </w:t>
      </w:r>
      <w:r w:rsidRPr="00C14DB6">
        <w:rPr>
          <w:rFonts w:ascii="Times New Roman" w:hAnsi="Times New Roman"/>
          <w:b/>
          <w:bCs/>
          <w:color w:val="auto"/>
        </w:rPr>
        <w:t>2005</w:t>
      </w:r>
      <w:r w:rsidRPr="00C14DB6">
        <w:rPr>
          <w:rFonts w:ascii="Times New Roman" w:hAnsi="Times New Roman"/>
          <w:color w:val="auto"/>
        </w:rPr>
        <w:t xml:space="preserve">, </w:t>
      </w:r>
      <w:r w:rsidRPr="00C14DB6">
        <w:rPr>
          <w:rFonts w:ascii="Times New Roman" w:hAnsi="Times New Roman"/>
          <w:i/>
          <w:iCs/>
          <w:color w:val="auto"/>
        </w:rPr>
        <w:t>30</w:t>
      </w:r>
      <w:r w:rsidRPr="00C14DB6">
        <w:rPr>
          <w:rFonts w:ascii="Times New Roman" w:hAnsi="Times New Roman"/>
          <w:color w:val="auto"/>
        </w:rPr>
        <w:t>, 319–325.</w:t>
      </w:r>
    </w:p>
    <w:p w14:paraId="4661006B"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 </w:t>
      </w:r>
      <w:r w:rsidRPr="00C14DB6">
        <w:rPr>
          <w:rFonts w:ascii="Times New Roman" w:hAnsi="Times New Roman"/>
          <w:color w:val="auto"/>
        </w:rPr>
        <w:tab/>
        <w:t xml:space="preserve">Clemens, B.; Wagels, L.; Bauchmüller, M.; Bergs, R.; Habel, U.; Kohn, N. Alerted Default Mode: Functional Connectivity Changes in the Aftermath of Social Stress. </w:t>
      </w:r>
      <w:r w:rsidRPr="00C14DB6">
        <w:rPr>
          <w:rFonts w:ascii="Times New Roman" w:hAnsi="Times New Roman"/>
          <w:i/>
          <w:iCs/>
          <w:color w:val="auto"/>
        </w:rPr>
        <w:t>Scientific reports</w:t>
      </w:r>
      <w:r w:rsidRPr="00C14DB6">
        <w:rPr>
          <w:rFonts w:ascii="Times New Roman" w:hAnsi="Times New Roman"/>
          <w:color w:val="auto"/>
        </w:rPr>
        <w:t xml:space="preserve"> </w:t>
      </w:r>
      <w:r w:rsidRPr="00C14DB6">
        <w:rPr>
          <w:rFonts w:ascii="Times New Roman" w:hAnsi="Times New Roman"/>
          <w:b/>
          <w:bCs/>
          <w:color w:val="auto"/>
        </w:rPr>
        <w:t>2017</w:t>
      </w:r>
      <w:r w:rsidRPr="00C14DB6">
        <w:rPr>
          <w:rFonts w:ascii="Times New Roman" w:hAnsi="Times New Roman"/>
          <w:color w:val="auto"/>
        </w:rPr>
        <w:t xml:space="preserve">, </w:t>
      </w:r>
      <w:r w:rsidRPr="00C14DB6">
        <w:rPr>
          <w:rFonts w:ascii="Times New Roman" w:hAnsi="Times New Roman"/>
          <w:i/>
          <w:iCs/>
          <w:color w:val="auto"/>
        </w:rPr>
        <w:t>7</w:t>
      </w:r>
      <w:r w:rsidRPr="00C14DB6">
        <w:rPr>
          <w:rFonts w:ascii="Times New Roman" w:hAnsi="Times New Roman"/>
          <w:color w:val="auto"/>
        </w:rPr>
        <w:t>, doi:10.1038/SREP40180.</w:t>
      </w:r>
    </w:p>
    <w:p w14:paraId="1259EA32"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 </w:t>
      </w:r>
      <w:r w:rsidRPr="00C14DB6">
        <w:rPr>
          <w:rFonts w:ascii="Times New Roman" w:hAnsi="Times New Roman"/>
          <w:color w:val="auto"/>
        </w:rPr>
        <w:tab/>
        <w:t xml:space="preserve">Kogler, L.; Müller, V.I.; Chang, A.; Eickhoff, S.B.; Fox, P.T.; Gur, R.C.; Derntl, B. Psychosocial versus Physiological Stress - Meta-Analyses on Deactivations and Activations of the Neural Correlates of Stress Reactions.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2015</w:t>
      </w:r>
      <w:r w:rsidRPr="00C14DB6">
        <w:rPr>
          <w:rFonts w:ascii="Times New Roman" w:hAnsi="Times New Roman"/>
          <w:color w:val="auto"/>
        </w:rPr>
        <w:t xml:space="preserve">, </w:t>
      </w:r>
      <w:r w:rsidRPr="00C14DB6">
        <w:rPr>
          <w:rFonts w:ascii="Times New Roman" w:hAnsi="Times New Roman"/>
          <w:i/>
          <w:iCs/>
          <w:color w:val="auto"/>
        </w:rPr>
        <w:t>119</w:t>
      </w:r>
      <w:r w:rsidRPr="00C14DB6">
        <w:rPr>
          <w:rFonts w:ascii="Times New Roman" w:hAnsi="Times New Roman"/>
          <w:color w:val="auto"/>
        </w:rPr>
        <w:t>, 235–251, doi:10.1016/J.NEUROIMAGE.2015.06.059.</w:t>
      </w:r>
    </w:p>
    <w:p w14:paraId="1E7A48D9"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6. </w:t>
      </w:r>
      <w:r w:rsidRPr="00C14DB6">
        <w:rPr>
          <w:rFonts w:ascii="Times New Roman" w:hAnsi="Times New Roman"/>
          <w:color w:val="auto"/>
        </w:rPr>
        <w:tab/>
        <w:t xml:space="preserve">De Raedt, R.; Hooley, J.M. The Role of Expectancy and Proactive Control in Stress Regulation: A Neurocognitive Framework for Regulation Expectation. </w:t>
      </w:r>
      <w:r w:rsidRPr="00C14DB6">
        <w:rPr>
          <w:rFonts w:ascii="Times New Roman" w:hAnsi="Times New Roman"/>
          <w:i/>
          <w:iCs/>
          <w:color w:val="auto"/>
        </w:rPr>
        <w:t>Clinical Psychology Review</w:t>
      </w:r>
      <w:r w:rsidRPr="00C14DB6">
        <w:rPr>
          <w:rFonts w:ascii="Times New Roman" w:hAnsi="Times New Roman"/>
          <w:color w:val="auto"/>
        </w:rPr>
        <w:t xml:space="preserve"> </w:t>
      </w:r>
      <w:r w:rsidRPr="00C14DB6">
        <w:rPr>
          <w:rFonts w:ascii="Times New Roman" w:hAnsi="Times New Roman"/>
          <w:b/>
          <w:bCs/>
          <w:color w:val="auto"/>
        </w:rPr>
        <w:t>2016</w:t>
      </w:r>
      <w:r w:rsidRPr="00C14DB6">
        <w:rPr>
          <w:rFonts w:ascii="Times New Roman" w:hAnsi="Times New Roman"/>
          <w:color w:val="auto"/>
        </w:rPr>
        <w:t xml:space="preserve">, </w:t>
      </w:r>
      <w:r w:rsidRPr="00C14DB6">
        <w:rPr>
          <w:rFonts w:ascii="Times New Roman" w:hAnsi="Times New Roman"/>
          <w:i/>
          <w:iCs/>
          <w:color w:val="auto"/>
        </w:rPr>
        <w:t>45</w:t>
      </w:r>
      <w:r w:rsidRPr="00C14DB6">
        <w:rPr>
          <w:rFonts w:ascii="Times New Roman" w:hAnsi="Times New Roman"/>
          <w:color w:val="auto"/>
        </w:rPr>
        <w:t>, 45–55, doi:10.1016/J.CPR.2016.03.005.</w:t>
      </w:r>
    </w:p>
    <w:p w14:paraId="544967A6"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7. </w:t>
      </w:r>
      <w:r w:rsidRPr="00C14DB6">
        <w:rPr>
          <w:rFonts w:ascii="Times New Roman" w:hAnsi="Times New Roman"/>
          <w:color w:val="auto"/>
        </w:rPr>
        <w:tab/>
        <w:t xml:space="preserve">Hermans, E.J.; Battaglia, F.P.; Atsak, P.; De Voogd, L.D.; Fernández, G.; Roozendaal, B. How the Amygdala Affects Emotional Memory by Altering Brain Network Properties. </w:t>
      </w:r>
      <w:r w:rsidRPr="00C14DB6">
        <w:rPr>
          <w:rFonts w:ascii="Times New Roman" w:hAnsi="Times New Roman"/>
          <w:i/>
          <w:iCs/>
          <w:color w:val="auto"/>
        </w:rPr>
        <w:t>Neurobiology of learning and memory</w:t>
      </w:r>
      <w:r w:rsidRPr="00C14DB6">
        <w:rPr>
          <w:rFonts w:ascii="Times New Roman" w:hAnsi="Times New Roman"/>
          <w:color w:val="auto"/>
        </w:rPr>
        <w:t xml:space="preserve"> </w:t>
      </w:r>
      <w:r w:rsidRPr="00C14DB6">
        <w:rPr>
          <w:rFonts w:ascii="Times New Roman" w:hAnsi="Times New Roman"/>
          <w:b/>
          <w:bCs/>
          <w:color w:val="auto"/>
        </w:rPr>
        <w:t>2014</w:t>
      </w:r>
      <w:r w:rsidRPr="00C14DB6">
        <w:rPr>
          <w:rFonts w:ascii="Times New Roman" w:hAnsi="Times New Roman"/>
          <w:color w:val="auto"/>
        </w:rPr>
        <w:t xml:space="preserve">, </w:t>
      </w:r>
      <w:r w:rsidRPr="00C14DB6">
        <w:rPr>
          <w:rFonts w:ascii="Times New Roman" w:hAnsi="Times New Roman"/>
          <w:i/>
          <w:iCs/>
          <w:color w:val="auto"/>
        </w:rPr>
        <w:t>112</w:t>
      </w:r>
      <w:r w:rsidRPr="00C14DB6">
        <w:rPr>
          <w:rFonts w:ascii="Times New Roman" w:hAnsi="Times New Roman"/>
          <w:color w:val="auto"/>
        </w:rPr>
        <w:t>, 2–16, doi:10.1016/J.NLM.2014.02.005.</w:t>
      </w:r>
    </w:p>
    <w:p w14:paraId="1F1A3BB3"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8. </w:t>
      </w:r>
      <w:r w:rsidRPr="00C14DB6">
        <w:rPr>
          <w:rFonts w:ascii="Times New Roman" w:hAnsi="Times New Roman"/>
          <w:color w:val="auto"/>
        </w:rPr>
        <w:tab/>
        <w:t xml:space="preserve">Koenigs, M.; Grafman, J. The Functional Neuroanatomy of Depression: Distinct Roles for Ventromedial and Dorsolateral Prefrontal Cortex. </w:t>
      </w:r>
      <w:r w:rsidRPr="00C14DB6">
        <w:rPr>
          <w:rFonts w:ascii="Times New Roman" w:hAnsi="Times New Roman"/>
          <w:i/>
          <w:iCs/>
          <w:color w:val="auto"/>
        </w:rPr>
        <w:t>Behavioural brain research</w:t>
      </w:r>
      <w:r w:rsidRPr="00C14DB6">
        <w:rPr>
          <w:rFonts w:ascii="Times New Roman" w:hAnsi="Times New Roman"/>
          <w:color w:val="auto"/>
        </w:rPr>
        <w:t xml:space="preserve"> </w:t>
      </w:r>
      <w:r w:rsidRPr="00C14DB6">
        <w:rPr>
          <w:rFonts w:ascii="Times New Roman" w:hAnsi="Times New Roman"/>
          <w:b/>
          <w:bCs/>
          <w:color w:val="auto"/>
        </w:rPr>
        <w:t>2009</w:t>
      </w:r>
      <w:r w:rsidRPr="00C14DB6">
        <w:rPr>
          <w:rFonts w:ascii="Times New Roman" w:hAnsi="Times New Roman"/>
          <w:color w:val="auto"/>
        </w:rPr>
        <w:t xml:space="preserve">, </w:t>
      </w:r>
      <w:r w:rsidRPr="00C14DB6">
        <w:rPr>
          <w:rFonts w:ascii="Times New Roman" w:hAnsi="Times New Roman"/>
          <w:i/>
          <w:iCs/>
          <w:color w:val="auto"/>
        </w:rPr>
        <w:t>201</w:t>
      </w:r>
      <w:r w:rsidRPr="00C14DB6">
        <w:rPr>
          <w:rFonts w:ascii="Times New Roman" w:hAnsi="Times New Roman"/>
          <w:color w:val="auto"/>
        </w:rPr>
        <w:t>, 239, doi:10.1016/J.BBR.2009.03.004.</w:t>
      </w:r>
    </w:p>
    <w:p w14:paraId="4C710730"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9. </w:t>
      </w:r>
      <w:r w:rsidRPr="00C14DB6">
        <w:rPr>
          <w:rFonts w:ascii="Times New Roman" w:hAnsi="Times New Roman"/>
          <w:color w:val="auto"/>
        </w:rPr>
        <w:tab/>
        <w:t xml:space="preserve">Cacioppo, S.; Frum, C.; Asp, E.; Weiss, R.M.; Lewis, J.W.; Cacioppo, J.T. A Quantitative Meta-Analysis of Functional Imaging Studies of Social Rejection. </w:t>
      </w:r>
      <w:r w:rsidRPr="00C14DB6">
        <w:rPr>
          <w:rFonts w:ascii="Times New Roman" w:hAnsi="Times New Roman"/>
          <w:i/>
          <w:iCs/>
          <w:color w:val="auto"/>
        </w:rPr>
        <w:t>Scientific reports</w:t>
      </w:r>
      <w:r w:rsidRPr="00C14DB6">
        <w:rPr>
          <w:rFonts w:ascii="Times New Roman" w:hAnsi="Times New Roman"/>
          <w:color w:val="auto"/>
        </w:rPr>
        <w:t xml:space="preserve"> </w:t>
      </w:r>
      <w:r w:rsidRPr="00C14DB6">
        <w:rPr>
          <w:rFonts w:ascii="Times New Roman" w:hAnsi="Times New Roman"/>
          <w:b/>
          <w:bCs/>
          <w:color w:val="auto"/>
        </w:rPr>
        <w:t>2013</w:t>
      </w:r>
      <w:r w:rsidRPr="00C14DB6">
        <w:rPr>
          <w:rFonts w:ascii="Times New Roman" w:hAnsi="Times New Roman"/>
          <w:color w:val="auto"/>
        </w:rPr>
        <w:t xml:space="preserve">, </w:t>
      </w:r>
      <w:r w:rsidRPr="00C14DB6">
        <w:rPr>
          <w:rFonts w:ascii="Times New Roman" w:hAnsi="Times New Roman"/>
          <w:i/>
          <w:iCs/>
          <w:color w:val="auto"/>
        </w:rPr>
        <w:t>3</w:t>
      </w:r>
      <w:r w:rsidRPr="00C14DB6">
        <w:rPr>
          <w:rFonts w:ascii="Times New Roman" w:hAnsi="Times New Roman"/>
          <w:color w:val="auto"/>
        </w:rPr>
        <w:t>, doi:10.1038/SREP02027.</w:t>
      </w:r>
    </w:p>
    <w:p w14:paraId="272D8904"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10. </w:t>
      </w:r>
      <w:r w:rsidRPr="00C14DB6">
        <w:rPr>
          <w:rFonts w:ascii="Times New Roman" w:hAnsi="Times New Roman"/>
          <w:color w:val="auto"/>
        </w:rPr>
        <w:tab/>
        <w:t xml:space="preserve">Veer, I.M.; Oei, N.Y.L.; Spinhoven, P.; van Buchem, M.A.; Elzinga, B.M.; Rombouts, S.A.R.B. Beyond Acute Social Stress: Increased Functional Connectivity between Amygdala and Cortical Midline Structures.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2011</w:t>
      </w:r>
      <w:r w:rsidRPr="00C14DB6">
        <w:rPr>
          <w:rFonts w:ascii="Times New Roman" w:hAnsi="Times New Roman"/>
          <w:color w:val="auto"/>
        </w:rPr>
        <w:t xml:space="preserve">, </w:t>
      </w:r>
      <w:r w:rsidRPr="00C14DB6">
        <w:rPr>
          <w:rFonts w:ascii="Times New Roman" w:hAnsi="Times New Roman"/>
          <w:i/>
          <w:iCs/>
          <w:color w:val="auto"/>
        </w:rPr>
        <w:t>57</w:t>
      </w:r>
      <w:r w:rsidRPr="00C14DB6">
        <w:rPr>
          <w:rFonts w:ascii="Times New Roman" w:hAnsi="Times New Roman"/>
          <w:color w:val="auto"/>
        </w:rPr>
        <w:t>, 1534–1541, doi:10.1016/J.NEUROIMAGE.2011.05.074.</w:t>
      </w:r>
    </w:p>
    <w:p w14:paraId="18EE2A5C"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11. </w:t>
      </w:r>
      <w:r w:rsidRPr="00C14DB6">
        <w:rPr>
          <w:rFonts w:ascii="Times New Roman" w:hAnsi="Times New Roman"/>
          <w:color w:val="auto"/>
        </w:rPr>
        <w:tab/>
        <w:t xml:space="preserve">Lockwood, P.L.; Wittmann, M.K. Ventral Anterior Cingulate Cortex and Social Decision-Making. </w:t>
      </w:r>
      <w:r w:rsidRPr="00C14DB6">
        <w:rPr>
          <w:rFonts w:ascii="Times New Roman" w:hAnsi="Times New Roman"/>
          <w:i/>
          <w:iCs/>
          <w:color w:val="auto"/>
        </w:rPr>
        <w:t>Neuroscience &amp; Biobehavioral Reviews</w:t>
      </w:r>
      <w:r w:rsidRPr="00C14DB6">
        <w:rPr>
          <w:rFonts w:ascii="Times New Roman" w:hAnsi="Times New Roman"/>
          <w:color w:val="auto"/>
        </w:rPr>
        <w:t xml:space="preserve"> </w:t>
      </w:r>
      <w:r w:rsidRPr="00C14DB6">
        <w:rPr>
          <w:rFonts w:ascii="Times New Roman" w:hAnsi="Times New Roman"/>
          <w:b/>
          <w:bCs/>
          <w:color w:val="auto"/>
        </w:rPr>
        <w:t>2018</w:t>
      </w:r>
      <w:r w:rsidRPr="00C14DB6">
        <w:rPr>
          <w:rFonts w:ascii="Times New Roman" w:hAnsi="Times New Roman"/>
          <w:color w:val="auto"/>
        </w:rPr>
        <w:t xml:space="preserve">, </w:t>
      </w:r>
      <w:r w:rsidRPr="00C14DB6">
        <w:rPr>
          <w:rFonts w:ascii="Times New Roman" w:hAnsi="Times New Roman"/>
          <w:i/>
          <w:iCs/>
          <w:color w:val="auto"/>
        </w:rPr>
        <w:t>92</w:t>
      </w:r>
      <w:r w:rsidRPr="00C14DB6">
        <w:rPr>
          <w:rFonts w:ascii="Times New Roman" w:hAnsi="Times New Roman"/>
          <w:color w:val="auto"/>
        </w:rPr>
        <w:t>, 187–191, doi:10.1016/j.neubiorev.2018.05.030.</w:t>
      </w:r>
    </w:p>
    <w:p w14:paraId="03DBBEFA"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12. </w:t>
      </w:r>
      <w:r w:rsidRPr="00C14DB6">
        <w:rPr>
          <w:rFonts w:ascii="Times New Roman" w:hAnsi="Times New Roman"/>
          <w:color w:val="auto"/>
        </w:rPr>
        <w:tab/>
        <w:t xml:space="preserve">Cohen, M.X.; Elger, C.E.; Weber, B. Amygdala Tractography Predicts Functional Connectivity and Learning during Feedback-Guided Decision-Making.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2008</w:t>
      </w:r>
      <w:r w:rsidRPr="00C14DB6">
        <w:rPr>
          <w:rFonts w:ascii="Times New Roman" w:hAnsi="Times New Roman"/>
          <w:color w:val="auto"/>
        </w:rPr>
        <w:t xml:space="preserve">, </w:t>
      </w:r>
      <w:r w:rsidRPr="00C14DB6">
        <w:rPr>
          <w:rFonts w:ascii="Times New Roman" w:hAnsi="Times New Roman"/>
          <w:i/>
          <w:iCs/>
          <w:color w:val="auto"/>
        </w:rPr>
        <w:t>39</w:t>
      </w:r>
      <w:r w:rsidRPr="00C14DB6">
        <w:rPr>
          <w:rFonts w:ascii="Times New Roman" w:hAnsi="Times New Roman"/>
          <w:color w:val="auto"/>
        </w:rPr>
        <w:t>, 1396–1407, doi:10.1016/J.NEUROIMAGE.2007.10.004.</w:t>
      </w:r>
    </w:p>
    <w:p w14:paraId="203A2F19"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13. </w:t>
      </w:r>
      <w:r w:rsidRPr="00C14DB6">
        <w:rPr>
          <w:rFonts w:ascii="Times New Roman" w:hAnsi="Times New Roman"/>
          <w:color w:val="auto"/>
        </w:rPr>
        <w:tab/>
        <w:t xml:space="preserve">Quaedflieg, C.W.E.M.; Van De Ven, V.; Meyer, T.; Siep, N.; Merckelbach, H.; Smeets, T. Temporal Dynamics of Stress-Induced Alternations of Intrinsic Amygdala Connectivity and Neuroendocrine Levels. </w:t>
      </w:r>
      <w:r w:rsidRPr="00C14DB6">
        <w:rPr>
          <w:rFonts w:ascii="Times New Roman" w:hAnsi="Times New Roman"/>
          <w:i/>
          <w:iCs/>
          <w:color w:val="auto"/>
        </w:rPr>
        <w:t>PloS one</w:t>
      </w:r>
      <w:r w:rsidRPr="00C14DB6">
        <w:rPr>
          <w:rFonts w:ascii="Times New Roman" w:hAnsi="Times New Roman"/>
          <w:color w:val="auto"/>
        </w:rPr>
        <w:t xml:space="preserve"> </w:t>
      </w:r>
      <w:r w:rsidRPr="00C14DB6">
        <w:rPr>
          <w:rFonts w:ascii="Times New Roman" w:hAnsi="Times New Roman"/>
          <w:b/>
          <w:bCs/>
          <w:color w:val="auto"/>
        </w:rPr>
        <w:t>2015</w:t>
      </w:r>
      <w:r w:rsidRPr="00C14DB6">
        <w:rPr>
          <w:rFonts w:ascii="Times New Roman" w:hAnsi="Times New Roman"/>
          <w:color w:val="auto"/>
        </w:rPr>
        <w:t xml:space="preserve">, </w:t>
      </w:r>
      <w:r w:rsidRPr="00C14DB6">
        <w:rPr>
          <w:rFonts w:ascii="Times New Roman" w:hAnsi="Times New Roman"/>
          <w:i/>
          <w:iCs/>
          <w:color w:val="auto"/>
        </w:rPr>
        <w:t>10</w:t>
      </w:r>
      <w:r w:rsidRPr="00C14DB6">
        <w:rPr>
          <w:rFonts w:ascii="Times New Roman" w:hAnsi="Times New Roman"/>
          <w:color w:val="auto"/>
        </w:rPr>
        <w:t>, doi:10.1371/JOURNAL.PONE.0124141.</w:t>
      </w:r>
    </w:p>
    <w:p w14:paraId="732DA759"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lastRenderedPageBreak/>
        <w:t xml:space="preserve">14. </w:t>
      </w:r>
      <w:r w:rsidRPr="00C14DB6">
        <w:rPr>
          <w:rFonts w:ascii="Times New Roman" w:hAnsi="Times New Roman"/>
          <w:color w:val="auto"/>
        </w:rPr>
        <w:tab/>
        <w:t xml:space="preserve">Henckens, M.J.A.G.; Van Wingen, G.A.; Joëls, M.; Fernández, G. Time-Dependent Effects of Corticosteroids on Human Amygdala Processing. </w:t>
      </w:r>
      <w:r w:rsidRPr="00C14DB6">
        <w:rPr>
          <w:rFonts w:ascii="Times New Roman" w:hAnsi="Times New Roman"/>
          <w:i/>
          <w:iCs/>
          <w:color w:val="auto"/>
        </w:rPr>
        <w:t>The Journal of neuroscience : the official journal of the Society for Neuroscience</w:t>
      </w:r>
      <w:r w:rsidRPr="00C14DB6">
        <w:rPr>
          <w:rFonts w:ascii="Times New Roman" w:hAnsi="Times New Roman"/>
          <w:color w:val="auto"/>
        </w:rPr>
        <w:t xml:space="preserve"> </w:t>
      </w:r>
      <w:r w:rsidRPr="00C14DB6">
        <w:rPr>
          <w:rFonts w:ascii="Times New Roman" w:hAnsi="Times New Roman"/>
          <w:b/>
          <w:bCs/>
          <w:color w:val="auto"/>
        </w:rPr>
        <w:t>2010</w:t>
      </w:r>
      <w:r w:rsidRPr="00C14DB6">
        <w:rPr>
          <w:rFonts w:ascii="Times New Roman" w:hAnsi="Times New Roman"/>
          <w:color w:val="auto"/>
        </w:rPr>
        <w:t xml:space="preserve">, </w:t>
      </w:r>
      <w:r w:rsidRPr="00C14DB6">
        <w:rPr>
          <w:rFonts w:ascii="Times New Roman" w:hAnsi="Times New Roman"/>
          <w:i/>
          <w:iCs/>
          <w:color w:val="auto"/>
        </w:rPr>
        <w:t>30</w:t>
      </w:r>
      <w:r w:rsidRPr="00C14DB6">
        <w:rPr>
          <w:rFonts w:ascii="Times New Roman" w:hAnsi="Times New Roman"/>
          <w:color w:val="auto"/>
        </w:rPr>
        <w:t>, 12725–12732, doi:10.1523/JNEUROSCI.3112-10.2010.</w:t>
      </w:r>
    </w:p>
    <w:p w14:paraId="3979F64C"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15. </w:t>
      </w:r>
      <w:r w:rsidRPr="00C14DB6">
        <w:rPr>
          <w:rFonts w:ascii="Times New Roman" w:hAnsi="Times New Roman"/>
          <w:color w:val="auto"/>
        </w:rPr>
        <w:tab/>
        <w:t xml:space="preserve">Rose, A.J.; Rudolph, K.D. A Review of Sex Differences in Peer Relationship Processes: Potential Trade-Offs for the Emotional and Behavioral Development of Girls and Boys. </w:t>
      </w:r>
      <w:r w:rsidRPr="00C14DB6">
        <w:rPr>
          <w:rFonts w:ascii="Times New Roman" w:hAnsi="Times New Roman"/>
          <w:i/>
          <w:iCs/>
          <w:color w:val="auto"/>
        </w:rPr>
        <w:t>Psychological bulletin</w:t>
      </w:r>
      <w:r w:rsidRPr="00C14DB6">
        <w:rPr>
          <w:rFonts w:ascii="Times New Roman" w:hAnsi="Times New Roman"/>
          <w:color w:val="auto"/>
        </w:rPr>
        <w:t xml:space="preserve"> </w:t>
      </w:r>
      <w:r w:rsidRPr="00C14DB6">
        <w:rPr>
          <w:rFonts w:ascii="Times New Roman" w:hAnsi="Times New Roman"/>
          <w:b/>
          <w:bCs/>
          <w:color w:val="auto"/>
        </w:rPr>
        <w:t>2006</w:t>
      </w:r>
      <w:r w:rsidRPr="00C14DB6">
        <w:rPr>
          <w:rFonts w:ascii="Times New Roman" w:hAnsi="Times New Roman"/>
          <w:color w:val="auto"/>
        </w:rPr>
        <w:t xml:space="preserve">, </w:t>
      </w:r>
      <w:r w:rsidRPr="00C14DB6">
        <w:rPr>
          <w:rFonts w:ascii="Times New Roman" w:hAnsi="Times New Roman"/>
          <w:i/>
          <w:iCs/>
          <w:color w:val="auto"/>
        </w:rPr>
        <w:t>132</w:t>
      </w:r>
      <w:r w:rsidRPr="00C14DB6">
        <w:rPr>
          <w:rFonts w:ascii="Times New Roman" w:hAnsi="Times New Roman"/>
          <w:color w:val="auto"/>
        </w:rPr>
        <w:t>, 98, doi:10.1037/0033-2909.132.1.98.</w:t>
      </w:r>
    </w:p>
    <w:p w14:paraId="16EA89EB"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16. </w:t>
      </w:r>
      <w:r w:rsidRPr="00C14DB6">
        <w:rPr>
          <w:rFonts w:ascii="Times New Roman" w:hAnsi="Times New Roman"/>
          <w:color w:val="auto"/>
        </w:rPr>
        <w:tab/>
        <w:t xml:space="preserve">Stroud, L.R.; Salovey, P.; Epel, E.S. Sex Differences in Stress Responses: Social Rejection versus Achievement Stress. </w:t>
      </w:r>
      <w:r w:rsidRPr="00C14DB6">
        <w:rPr>
          <w:rFonts w:ascii="Times New Roman" w:hAnsi="Times New Roman"/>
          <w:i/>
          <w:iCs/>
          <w:color w:val="auto"/>
        </w:rPr>
        <w:t>Biological psychiatry</w:t>
      </w:r>
      <w:r w:rsidRPr="00C14DB6">
        <w:rPr>
          <w:rFonts w:ascii="Times New Roman" w:hAnsi="Times New Roman"/>
          <w:color w:val="auto"/>
        </w:rPr>
        <w:t xml:space="preserve"> </w:t>
      </w:r>
      <w:r w:rsidRPr="00C14DB6">
        <w:rPr>
          <w:rFonts w:ascii="Times New Roman" w:hAnsi="Times New Roman"/>
          <w:b/>
          <w:bCs/>
          <w:color w:val="auto"/>
        </w:rPr>
        <w:t>2002</w:t>
      </w:r>
      <w:r w:rsidRPr="00C14DB6">
        <w:rPr>
          <w:rFonts w:ascii="Times New Roman" w:hAnsi="Times New Roman"/>
          <w:color w:val="auto"/>
        </w:rPr>
        <w:t xml:space="preserve">, </w:t>
      </w:r>
      <w:r w:rsidRPr="00C14DB6">
        <w:rPr>
          <w:rFonts w:ascii="Times New Roman" w:hAnsi="Times New Roman"/>
          <w:i/>
          <w:iCs/>
          <w:color w:val="auto"/>
        </w:rPr>
        <w:t>52</w:t>
      </w:r>
      <w:r w:rsidRPr="00C14DB6">
        <w:rPr>
          <w:rFonts w:ascii="Times New Roman" w:hAnsi="Times New Roman"/>
          <w:color w:val="auto"/>
        </w:rPr>
        <w:t>, 318–327, doi:10.1016/S0006-3223(02)01333-1.</w:t>
      </w:r>
    </w:p>
    <w:p w14:paraId="3EB9BAB6"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17. </w:t>
      </w:r>
      <w:r w:rsidRPr="00C14DB6">
        <w:rPr>
          <w:rFonts w:ascii="Times New Roman" w:hAnsi="Times New Roman"/>
          <w:color w:val="auto"/>
        </w:rPr>
        <w:tab/>
        <w:t xml:space="preserve">Bangasser, D.A.; Valentino, R.J. Sex Differences in Stress-Related Psychiatric Disorders: Neurobiological Perspectives. </w:t>
      </w:r>
      <w:r w:rsidRPr="00C14DB6">
        <w:rPr>
          <w:rFonts w:ascii="Times New Roman" w:hAnsi="Times New Roman"/>
          <w:b/>
          <w:bCs/>
          <w:color w:val="auto"/>
        </w:rPr>
        <w:t>2014</w:t>
      </w:r>
      <w:r w:rsidRPr="00C14DB6">
        <w:rPr>
          <w:rFonts w:ascii="Times New Roman" w:hAnsi="Times New Roman"/>
          <w:color w:val="auto"/>
        </w:rPr>
        <w:t>, doi:10.1016/j.yfrne.2014.03.008.</w:t>
      </w:r>
    </w:p>
    <w:p w14:paraId="763CB6C0"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18. </w:t>
      </w:r>
      <w:r w:rsidRPr="00C14DB6">
        <w:rPr>
          <w:rFonts w:ascii="Times New Roman" w:hAnsi="Times New Roman"/>
          <w:color w:val="auto"/>
        </w:rPr>
        <w:tab/>
        <w:t xml:space="preserve">Heck, A.L.; Handa, R.J. Sex Differences in the Hypothalamic–Pituitary–Adrenal Axis’ Response to Stress: An Important Role for Gonadal Hormones. </w:t>
      </w:r>
      <w:r w:rsidRPr="00C14DB6">
        <w:rPr>
          <w:rFonts w:ascii="Times New Roman" w:hAnsi="Times New Roman"/>
          <w:i/>
          <w:iCs/>
          <w:color w:val="auto"/>
        </w:rPr>
        <w:t>Neuropsychopharmacology</w:t>
      </w:r>
      <w:r w:rsidRPr="00C14DB6">
        <w:rPr>
          <w:rFonts w:ascii="Times New Roman" w:hAnsi="Times New Roman"/>
          <w:color w:val="auto"/>
        </w:rPr>
        <w:t xml:space="preserve"> </w:t>
      </w:r>
      <w:r w:rsidRPr="00C14DB6">
        <w:rPr>
          <w:rFonts w:ascii="Times New Roman" w:hAnsi="Times New Roman"/>
          <w:b/>
          <w:bCs/>
          <w:color w:val="auto"/>
        </w:rPr>
        <w:t>2019</w:t>
      </w:r>
      <w:r w:rsidRPr="00C14DB6">
        <w:rPr>
          <w:rFonts w:ascii="Times New Roman" w:hAnsi="Times New Roman"/>
          <w:color w:val="auto"/>
        </w:rPr>
        <w:t xml:space="preserve">, </w:t>
      </w:r>
      <w:r w:rsidRPr="00C14DB6">
        <w:rPr>
          <w:rFonts w:ascii="Times New Roman" w:hAnsi="Times New Roman"/>
          <w:i/>
          <w:iCs/>
          <w:color w:val="auto"/>
        </w:rPr>
        <w:t>44</w:t>
      </w:r>
      <w:r w:rsidRPr="00C14DB6">
        <w:rPr>
          <w:rFonts w:ascii="Times New Roman" w:hAnsi="Times New Roman"/>
          <w:color w:val="auto"/>
        </w:rPr>
        <w:t>, 45, doi:10.1038/S41386-018-0167-9.</w:t>
      </w:r>
    </w:p>
    <w:p w14:paraId="123BCD67"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19. </w:t>
      </w:r>
      <w:r w:rsidRPr="00C14DB6">
        <w:rPr>
          <w:rFonts w:ascii="Times New Roman" w:hAnsi="Times New Roman"/>
          <w:color w:val="auto"/>
        </w:rPr>
        <w:tab/>
        <w:t xml:space="preserve">Li, S.H.; Graham, B.M. Why Are Women so Vulnerable to Anxiety, Trauma-Related and Stress-Related Disorders? The Potential Role of Sex Hormones. </w:t>
      </w:r>
      <w:r w:rsidRPr="00C14DB6">
        <w:rPr>
          <w:rFonts w:ascii="Times New Roman" w:hAnsi="Times New Roman"/>
          <w:i/>
          <w:iCs/>
          <w:color w:val="auto"/>
        </w:rPr>
        <w:t>The lancet. Psychiatry</w:t>
      </w:r>
      <w:r w:rsidRPr="00C14DB6">
        <w:rPr>
          <w:rFonts w:ascii="Times New Roman" w:hAnsi="Times New Roman"/>
          <w:color w:val="auto"/>
        </w:rPr>
        <w:t xml:space="preserve"> </w:t>
      </w:r>
      <w:r w:rsidRPr="00C14DB6">
        <w:rPr>
          <w:rFonts w:ascii="Times New Roman" w:hAnsi="Times New Roman"/>
          <w:b/>
          <w:bCs/>
          <w:color w:val="auto"/>
        </w:rPr>
        <w:t>2017</w:t>
      </w:r>
      <w:r w:rsidRPr="00C14DB6">
        <w:rPr>
          <w:rFonts w:ascii="Times New Roman" w:hAnsi="Times New Roman"/>
          <w:color w:val="auto"/>
        </w:rPr>
        <w:t xml:space="preserve">, </w:t>
      </w:r>
      <w:r w:rsidRPr="00C14DB6">
        <w:rPr>
          <w:rFonts w:ascii="Times New Roman" w:hAnsi="Times New Roman"/>
          <w:i/>
          <w:iCs/>
          <w:color w:val="auto"/>
        </w:rPr>
        <w:t>4</w:t>
      </w:r>
      <w:r w:rsidRPr="00C14DB6">
        <w:rPr>
          <w:rFonts w:ascii="Times New Roman" w:hAnsi="Times New Roman"/>
          <w:color w:val="auto"/>
        </w:rPr>
        <w:t>, 73–82, doi:10.1016/S2215-0366(16)30358-3.</w:t>
      </w:r>
    </w:p>
    <w:p w14:paraId="1B43A064"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20. </w:t>
      </w:r>
      <w:r w:rsidRPr="00C14DB6">
        <w:rPr>
          <w:rFonts w:ascii="Times New Roman" w:hAnsi="Times New Roman"/>
          <w:color w:val="auto"/>
        </w:rPr>
        <w:tab/>
        <w:t xml:space="preserve">Mauvais-Jarvis, F.; Bairey Merz, N.; Barnes, P.J.; Brinton, R.D.; Carrero, J.J.; DeMeo, D.L.; De Vries, G.J.; Epperson, C.N.; Govindan, R.; Klein, S.L.; et al. Sex and Gender: Modifiers of Health, Disease, and Medicine. </w:t>
      </w:r>
      <w:r w:rsidRPr="00C14DB6">
        <w:rPr>
          <w:rFonts w:ascii="Times New Roman" w:hAnsi="Times New Roman"/>
          <w:i/>
          <w:iCs/>
          <w:color w:val="auto"/>
        </w:rPr>
        <w:t>Lancet (London, England)</w:t>
      </w:r>
      <w:r w:rsidRPr="00C14DB6">
        <w:rPr>
          <w:rFonts w:ascii="Times New Roman" w:hAnsi="Times New Roman"/>
          <w:color w:val="auto"/>
        </w:rPr>
        <w:t xml:space="preserve"> </w:t>
      </w:r>
      <w:r w:rsidRPr="00C14DB6">
        <w:rPr>
          <w:rFonts w:ascii="Times New Roman" w:hAnsi="Times New Roman"/>
          <w:b/>
          <w:bCs/>
          <w:color w:val="auto"/>
        </w:rPr>
        <w:t>2020</w:t>
      </w:r>
      <w:r w:rsidRPr="00C14DB6">
        <w:rPr>
          <w:rFonts w:ascii="Times New Roman" w:hAnsi="Times New Roman"/>
          <w:color w:val="auto"/>
        </w:rPr>
        <w:t xml:space="preserve">, </w:t>
      </w:r>
      <w:r w:rsidRPr="00C14DB6">
        <w:rPr>
          <w:rFonts w:ascii="Times New Roman" w:hAnsi="Times New Roman"/>
          <w:i/>
          <w:iCs/>
          <w:color w:val="auto"/>
        </w:rPr>
        <w:t>396</w:t>
      </w:r>
      <w:r w:rsidRPr="00C14DB6">
        <w:rPr>
          <w:rFonts w:ascii="Times New Roman" w:hAnsi="Times New Roman"/>
          <w:color w:val="auto"/>
        </w:rPr>
        <w:t>, 565, doi:10.1016/S0140-6736(20)31561-0.</w:t>
      </w:r>
    </w:p>
    <w:p w14:paraId="0C6CEA1B"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21. </w:t>
      </w:r>
      <w:r w:rsidRPr="00C14DB6">
        <w:rPr>
          <w:rFonts w:ascii="Times New Roman" w:hAnsi="Times New Roman"/>
          <w:color w:val="auto"/>
        </w:rPr>
        <w:tab/>
        <w:t xml:space="preserve">Kuehner, C. Why Is Depression More Common among Women than among Men? </w:t>
      </w:r>
      <w:r w:rsidRPr="00C14DB6">
        <w:rPr>
          <w:rFonts w:ascii="Times New Roman" w:hAnsi="Times New Roman"/>
          <w:i/>
          <w:iCs/>
          <w:color w:val="auto"/>
        </w:rPr>
        <w:t>The lancet. Psychiatry</w:t>
      </w:r>
      <w:r w:rsidRPr="00C14DB6">
        <w:rPr>
          <w:rFonts w:ascii="Times New Roman" w:hAnsi="Times New Roman"/>
          <w:color w:val="auto"/>
        </w:rPr>
        <w:t xml:space="preserve"> </w:t>
      </w:r>
      <w:r w:rsidRPr="00C14DB6">
        <w:rPr>
          <w:rFonts w:ascii="Times New Roman" w:hAnsi="Times New Roman"/>
          <w:b/>
          <w:bCs/>
          <w:color w:val="auto"/>
        </w:rPr>
        <w:t>2017</w:t>
      </w:r>
      <w:r w:rsidRPr="00C14DB6">
        <w:rPr>
          <w:rFonts w:ascii="Times New Roman" w:hAnsi="Times New Roman"/>
          <w:color w:val="auto"/>
        </w:rPr>
        <w:t xml:space="preserve">, </w:t>
      </w:r>
      <w:r w:rsidRPr="00C14DB6">
        <w:rPr>
          <w:rFonts w:ascii="Times New Roman" w:hAnsi="Times New Roman"/>
          <w:i/>
          <w:iCs/>
          <w:color w:val="auto"/>
        </w:rPr>
        <w:t>4</w:t>
      </w:r>
      <w:r w:rsidRPr="00C14DB6">
        <w:rPr>
          <w:rFonts w:ascii="Times New Roman" w:hAnsi="Times New Roman"/>
          <w:color w:val="auto"/>
        </w:rPr>
        <w:t>, 146–158, doi:10.1016/S2215-0366(16)30263-2.</w:t>
      </w:r>
    </w:p>
    <w:p w14:paraId="495DD61D"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22. </w:t>
      </w:r>
      <w:r w:rsidRPr="00C14DB6">
        <w:rPr>
          <w:rFonts w:ascii="Times New Roman" w:hAnsi="Times New Roman"/>
          <w:color w:val="auto"/>
        </w:rPr>
        <w:tab/>
        <w:t xml:space="preserve">Alarcón, G.; Cservenka, A.; Rudolph, M.D.; Fair, D.A.; Nagel, B.J. Developmental Sex Differences in Resting State Functional Connectivity of Amygdala Sub-Regions.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2015</w:t>
      </w:r>
      <w:r w:rsidRPr="00C14DB6">
        <w:rPr>
          <w:rFonts w:ascii="Times New Roman" w:hAnsi="Times New Roman"/>
          <w:color w:val="auto"/>
        </w:rPr>
        <w:t xml:space="preserve">, </w:t>
      </w:r>
      <w:r w:rsidRPr="00C14DB6">
        <w:rPr>
          <w:rFonts w:ascii="Times New Roman" w:hAnsi="Times New Roman"/>
          <w:i/>
          <w:iCs/>
          <w:color w:val="auto"/>
        </w:rPr>
        <w:t>115</w:t>
      </w:r>
      <w:r w:rsidRPr="00C14DB6">
        <w:rPr>
          <w:rFonts w:ascii="Times New Roman" w:hAnsi="Times New Roman"/>
          <w:color w:val="auto"/>
        </w:rPr>
        <w:t>, 235, doi:10.1016/J.NEUROIMAGE.2015.04.013.</w:t>
      </w:r>
    </w:p>
    <w:p w14:paraId="2FEBFB3D"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23. </w:t>
      </w:r>
      <w:r w:rsidRPr="00C14DB6">
        <w:rPr>
          <w:rFonts w:ascii="Times New Roman" w:hAnsi="Times New Roman"/>
          <w:color w:val="auto"/>
        </w:rPr>
        <w:tab/>
        <w:t xml:space="preserve">Engman, J.; Linnman, C.; Van Dijk, K.R.A.; Milad, M.R. Amygdala Subnuclei Resting-State Functional Connectivity Sex and Estrogen Differences. </w:t>
      </w:r>
      <w:r w:rsidRPr="00C14DB6">
        <w:rPr>
          <w:rFonts w:ascii="Times New Roman" w:hAnsi="Times New Roman"/>
          <w:i/>
          <w:iCs/>
          <w:color w:val="auto"/>
        </w:rPr>
        <w:t>Psychoneuroendocrinology</w:t>
      </w:r>
      <w:r w:rsidRPr="00C14DB6">
        <w:rPr>
          <w:rFonts w:ascii="Times New Roman" w:hAnsi="Times New Roman"/>
          <w:color w:val="auto"/>
        </w:rPr>
        <w:t xml:space="preserve"> </w:t>
      </w:r>
      <w:r w:rsidRPr="00C14DB6">
        <w:rPr>
          <w:rFonts w:ascii="Times New Roman" w:hAnsi="Times New Roman"/>
          <w:b/>
          <w:bCs/>
          <w:color w:val="auto"/>
        </w:rPr>
        <w:t>2016</w:t>
      </w:r>
      <w:r w:rsidRPr="00C14DB6">
        <w:rPr>
          <w:rFonts w:ascii="Times New Roman" w:hAnsi="Times New Roman"/>
          <w:color w:val="auto"/>
        </w:rPr>
        <w:t xml:space="preserve">, </w:t>
      </w:r>
      <w:r w:rsidRPr="00C14DB6">
        <w:rPr>
          <w:rFonts w:ascii="Times New Roman" w:hAnsi="Times New Roman"/>
          <w:i/>
          <w:iCs/>
          <w:color w:val="auto"/>
        </w:rPr>
        <w:t>63</w:t>
      </w:r>
      <w:r w:rsidRPr="00C14DB6">
        <w:rPr>
          <w:rFonts w:ascii="Times New Roman" w:hAnsi="Times New Roman"/>
          <w:color w:val="auto"/>
        </w:rPr>
        <w:t>, 34–42, doi:10.1016/J.PSYNEUEN.2015.09.012.</w:t>
      </w:r>
    </w:p>
    <w:p w14:paraId="0B1231CC"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24. </w:t>
      </w:r>
      <w:r w:rsidRPr="00C14DB6">
        <w:rPr>
          <w:rFonts w:ascii="Times New Roman" w:hAnsi="Times New Roman"/>
          <w:color w:val="auto"/>
        </w:rPr>
        <w:tab/>
        <w:t xml:space="preserve">Kogler, L.; Müller, V.I.; Seidel, E.M.; Boubela, R.; Kalcher, K.; Moser, E.; Habel, U.; Gur, R.C.; Eickhoff, S.B.; Derntl, B. Sex Differences in the Functional Connectivity of the Amygdalae in Association with Cortisol.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2016</w:t>
      </w:r>
      <w:r w:rsidRPr="00C14DB6">
        <w:rPr>
          <w:rFonts w:ascii="Times New Roman" w:hAnsi="Times New Roman"/>
          <w:color w:val="auto"/>
        </w:rPr>
        <w:t xml:space="preserve">, </w:t>
      </w:r>
      <w:r w:rsidRPr="00C14DB6">
        <w:rPr>
          <w:rFonts w:ascii="Times New Roman" w:hAnsi="Times New Roman"/>
          <w:i/>
          <w:iCs/>
          <w:color w:val="auto"/>
        </w:rPr>
        <w:t>134</w:t>
      </w:r>
      <w:r w:rsidRPr="00C14DB6">
        <w:rPr>
          <w:rFonts w:ascii="Times New Roman" w:hAnsi="Times New Roman"/>
          <w:color w:val="auto"/>
        </w:rPr>
        <w:t>, 410–423, doi:10.1016/J.NEUROIMAGE.2016.03.064.</w:t>
      </w:r>
    </w:p>
    <w:p w14:paraId="540D2265" w14:textId="77777777" w:rsidR="0056609F" w:rsidRPr="00C14DB6" w:rsidRDefault="0056609F" w:rsidP="00C14DB6">
      <w:pPr>
        <w:widowControl w:val="0"/>
        <w:autoSpaceDE w:val="0"/>
        <w:autoSpaceDN w:val="0"/>
        <w:adjustRightInd w:val="0"/>
        <w:rPr>
          <w:rFonts w:ascii="Times New Roman" w:hAnsi="Times New Roman"/>
          <w:color w:val="auto"/>
          <w:lang w:val="de-DE"/>
        </w:rPr>
      </w:pPr>
      <w:r w:rsidRPr="00C14DB6">
        <w:rPr>
          <w:rFonts w:ascii="Times New Roman" w:hAnsi="Times New Roman"/>
          <w:color w:val="auto"/>
        </w:rPr>
        <w:t xml:space="preserve">25. </w:t>
      </w:r>
      <w:r w:rsidRPr="00C14DB6">
        <w:rPr>
          <w:rFonts w:ascii="Times New Roman" w:hAnsi="Times New Roman"/>
          <w:color w:val="auto"/>
        </w:rPr>
        <w:tab/>
        <w:t xml:space="preserve">Faul, F.; Erdfelder, E.; Lang, A.-G.; Buchner, A. G*Power 3: A Flexible Statistical Power Analysis Program for the Social, Behavioral, and Biomedical Sciences. </w:t>
      </w:r>
      <w:r w:rsidRPr="00C14DB6">
        <w:rPr>
          <w:rFonts w:ascii="Times New Roman" w:hAnsi="Times New Roman"/>
          <w:i/>
          <w:iCs/>
          <w:color w:val="auto"/>
          <w:lang w:val="de-DE"/>
        </w:rPr>
        <w:t>Behav Res Methods</w:t>
      </w:r>
      <w:r w:rsidRPr="00C14DB6">
        <w:rPr>
          <w:rFonts w:ascii="Times New Roman" w:hAnsi="Times New Roman"/>
          <w:color w:val="auto"/>
          <w:lang w:val="de-DE"/>
        </w:rPr>
        <w:t xml:space="preserve"> </w:t>
      </w:r>
      <w:r w:rsidRPr="00C14DB6">
        <w:rPr>
          <w:rFonts w:ascii="Times New Roman" w:hAnsi="Times New Roman"/>
          <w:b/>
          <w:bCs/>
          <w:color w:val="auto"/>
          <w:lang w:val="de-DE"/>
        </w:rPr>
        <w:t>2007</w:t>
      </w:r>
      <w:r w:rsidRPr="00C14DB6">
        <w:rPr>
          <w:rFonts w:ascii="Times New Roman" w:hAnsi="Times New Roman"/>
          <w:color w:val="auto"/>
          <w:lang w:val="de-DE"/>
        </w:rPr>
        <w:t xml:space="preserve">, </w:t>
      </w:r>
      <w:r w:rsidRPr="00C14DB6">
        <w:rPr>
          <w:rFonts w:ascii="Times New Roman" w:hAnsi="Times New Roman"/>
          <w:i/>
          <w:iCs/>
          <w:color w:val="auto"/>
          <w:lang w:val="de-DE"/>
        </w:rPr>
        <w:t>39</w:t>
      </w:r>
      <w:r w:rsidRPr="00C14DB6">
        <w:rPr>
          <w:rFonts w:ascii="Times New Roman" w:hAnsi="Times New Roman"/>
          <w:color w:val="auto"/>
          <w:lang w:val="de-DE"/>
        </w:rPr>
        <w:t>, 175–191, doi:10.3758/bf03193146.</w:t>
      </w:r>
    </w:p>
    <w:p w14:paraId="16ED5AE1" w14:textId="77777777" w:rsidR="0056609F" w:rsidRPr="00C14DB6" w:rsidRDefault="0056609F" w:rsidP="00C14DB6">
      <w:pPr>
        <w:widowControl w:val="0"/>
        <w:autoSpaceDE w:val="0"/>
        <w:autoSpaceDN w:val="0"/>
        <w:adjustRightInd w:val="0"/>
        <w:rPr>
          <w:rFonts w:ascii="Times New Roman" w:hAnsi="Times New Roman"/>
          <w:color w:val="auto"/>
          <w:lang w:val="de-DE"/>
        </w:rPr>
      </w:pPr>
      <w:r w:rsidRPr="00C14DB6">
        <w:rPr>
          <w:rFonts w:ascii="Times New Roman" w:hAnsi="Times New Roman"/>
          <w:color w:val="auto"/>
          <w:lang w:val="de-DE"/>
        </w:rPr>
        <w:t xml:space="preserve">26. </w:t>
      </w:r>
      <w:r w:rsidRPr="00C14DB6">
        <w:rPr>
          <w:rFonts w:ascii="Times New Roman" w:hAnsi="Times New Roman"/>
          <w:color w:val="auto"/>
          <w:lang w:val="de-DE"/>
        </w:rPr>
        <w:tab/>
        <w:t xml:space="preserve">Wittchen, H.; Wunderlich, U.; Gruschwitz, S.; Zaudig, M. Skid i. Strukturiertes Klinisches Interview Für Dsm-Iv. Achse i: Psychische Störungen. Interviewheft Und Beurteilungsheft. Eine Deutschsprachige, Erweiterte. </w:t>
      </w:r>
      <w:r w:rsidRPr="00C14DB6">
        <w:rPr>
          <w:rFonts w:ascii="Times New Roman" w:hAnsi="Times New Roman"/>
          <w:b/>
          <w:bCs/>
          <w:color w:val="auto"/>
          <w:lang w:val="de-DE"/>
        </w:rPr>
        <w:t>1997</w:t>
      </w:r>
      <w:r w:rsidRPr="00C14DB6">
        <w:rPr>
          <w:rFonts w:ascii="Times New Roman" w:hAnsi="Times New Roman"/>
          <w:color w:val="auto"/>
          <w:lang w:val="de-DE"/>
        </w:rPr>
        <w:t>.</w:t>
      </w:r>
    </w:p>
    <w:p w14:paraId="2AC42994"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lang w:val="de-DE"/>
        </w:rPr>
        <w:t xml:space="preserve">27. </w:t>
      </w:r>
      <w:r w:rsidRPr="00C14DB6">
        <w:rPr>
          <w:rFonts w:ascii="Times New Roman" w:hAnsi="Times New Roman"/>
          <w:color w:val="auto"/>
          <w:lang w:val="de-DE"/>
        </w:rPr>
        <w:tab/>
        <w:t xml:space="preserve">Merz, J.; Lehrl, S.; Galster, V.; Erzigkeit, H. MWT-B--Ein Intelligenzkurztest [The Multiple Selection Vocabulary Test (MSVT-B)--an Accelerated Intelligence Test]. </w:t>
      </w:r>
      <w:r w:rsidRPr="00C14DB6">
        <w:rPr>
          <w:rFonts w:ascii="Times New Roman" w:hAnsi="Times New Roman"/>
          <w:i/>
          <w:iCs/>
          <w:color w:val="auto"/>
        </w:rPr>
        <w:t>Psychiatrie, Neurologie, und medizinische Psychologie</w:t>
      </w:r>
      <w:r w:rsidRPr="00C14DB6">
        <w:rPr>
          <w:rFonts w:ascii="Times New Roman" w:hAnsi="Times New Roman"/>
          <w:color w:val="auto"/>
        </w:rPr>
        <w:t xml:space="preserve"> </w:t>
      </w:r>
      <w:r w:rsidRPr="00C14DB6">
        <w:rPr>
          <w:rFonts w:ascii="Times New Roman" w:hAnsi="Times New Roman"/>
          <w:b/>
          <w:bCs/>
          <w:color w:val="auto"/>
        </w:rPr>
        <w:t>1975</w:t>
      </w:r>
      <w:r w:rsidRPr="00C14DB6">
        <w:rPr>
          <w:rFonts w:ascii="Times New Roman" w:hAnsi="Times New Roman"/>
          <w:color w:val="auto"/>
        </w:rPr>
        <w:t xml:space="preserve">, </w:t>
      </w:r>
      <w:r w:rsidRPr="00C14DB6">
        <w:rPr>
          <w:rFonts w:ascii="Times New Roman" w:hAnsi="Times New Roman"/>
          <w:i/>
          <w:iCs/>
          <w:color w:val="auto"/>
        </w:rPr>
        <w:t>27</w:t>
      </w:r>
      <w:r w:rsidRPr="00C14DB6">
        <w:rPr>
          <w:rFonts w:ascii="Times New Roman" w:hAnsi="Times New Roman"/>
          <w:color w:val="auto"/>
        </w:rPr>
        <w:t>, 423–428.</w:t>
      </w:r>
    </w:p>
    <w:p w14:paraId="427BE350" w14:textId="77777777" w:rsidR="0056609F" w:rsidRPr="00C14DB6" w:rsidRDefault="0056609F" w:rsidP="00C14DB6">
      <w:pPr>
        <w:widowControl w:val="0"/>
        <w:autoSpaceDE w:val="0"/>
        <w:autoSpaceDN w:val="0"/>
        <w:adjustRightInd w:val="0"/>
        <w:rPr>
          <w:rFonts w:ascii="Times New Roman" w:hAnsi="Times New Roman"/>
          <w:color w:val="auto"/>
          <w:lang w:val="de-DE"/>
        </w:rPr>
      </w:pPr>
      <w:r w:rsidRPr="00C14DB6">
        <w:rPr>
          <w:rFonts w:ascii="Times New Roman" w:hAnsi="Times New Roman"/>
          <w:color w:val="auto"/>
        </w:rPr>
        <w:t xml:space="preserve">28. </w:t>
      </w:r>
      <w:r w:rsidRPr="00C14DB6">
        <w:rPr>
          <w:rFonts w:ascii="Times New Roman" w:hAnsi="Times New Roman"/>
          <w:color w:val="auto"/>
        </w:rPr>
        <w:tab/>
        <w:t xml:space="preserve">Berenson, K.R.; Gyurak, A.; Ayduk, Ö.; Downey, G.; Garner, M.J.; Mogg, K.; Bradley, B.P.; Pine, D.S. Rejection Sensitivity and Disruption of Attention by Social Threat Cues. </w:t>
      </w:r>
      <w:r w:rsidRPr="00C14DB6">
        <w:rPr>
          <w:rFonts w:ascii="Times New Roman" w:hAnsi="Times New Roman"/>
          <w:i/>
          <w:iCs/>
          <w:color w:val="auto"/>
          <w:lang w:val="de-DE"/>
        </w:rPr>
        <w:t>Journal of research in personality</w:t>
      </w:r>
      <w:r w:rsidRPr="00C14DB6">
        <w:rPr>
          <w:rFonts w:ascii="Times New Roman" w:hAnsi="Times New Roman"/>
          <w:color w:val="auto"/>
          <w:lang w:val="de-DE"/>
        </w:rPr>
        <w:t xml:space="preserve"> </w:t>
      </w:r>
      <w:r w:rsidRPr="00C14DB6">
        <w:rPr>
          <w:rFonts w:ascii="Times New Roman" w:hAnsi="Times New Roman"/>
          <w:b/>
          <w:bCs/>
          <w:color w:val="auto"/>
          <w:lang w:val="de-DE"/>
        </w:rPr>
        <w:t>2009</w:t>
      </w:r>
      <w:r w:rsidRPr="00C14DB6">
        <w:rPr>
          <w:rFonts w:ascii="Times New Roman" w:hAnsi="Times New Roman"/>
          <w:color w:val="auto"/>
          <w:lang w:val="de-DE"/>
        </w:rPr>
        <w:t xml:space="preserve">, </w:t>
      </w:r>
      <w:r w:rsidRPr="00C14DB6">
        <w:rPr>
          <w:rFonts w:ascii="Times New Roman" w:hAnsi="Times New Roman"/>
          <w:i/>
          <w:iCs/>
          <w:color w:val="auto"/>
          <w:lang w:val="de-DE"/>
        </w:rPr>
        <w:t>43</w:t>
      </w:r>
      <w:r w:rsidRPr="00C14DB6">
        <w:rPr>
          <w:rFonts w:ascii="Times New Roman" w:hAnsi="Times New Roman"/>
          <w:color w:val="auto"/>
          <w:lang w:val="de-DE"/>
        </w:rPr>
        <w:t>, 1064–1072, doi:10.1016/J.JRP.2009.07.007.</w:t>
      </w:r>
    </w:p>
    <w:p w14:paraId="25CC5805" w14:textId="77777777" w:rsidR="0056609F" w:rsidRPr="00C14DB6" w:rsidRDefault="0056609F" w:rsidP="00C14DB6">
      <w:pPr>
        <w:widowControl w:val="0"/>
        <w:autoSpaceDE w:val="0"/>
        <w:autoSpaceDN w:val="0"/>
        <w:adjustRightInd w:val="0"/>
        <w:rPr>
          <w:rFonts w:ascii="Times New Roman" w:hAnsi="Times New Roman"/>
          <w:color w:val="auto"/>
          <w:lang w:val="de-DE"/>
        </w:rPr>
      </w:pPr>
      <w:r w:rsidRPr="00C14DB6">
        <w:rPr>
          <w:rFonts w:ascii="Times New Roman" w:hAnsi="Times New Roman"/>
          <w:color w:val="auto"/>
          <w:lang w:val="de-DE"/>
        </w:rPr>
        <w:t xml:space="preserve">29. </w:t>
      </w:r>
      <w:r w:rsidRPr="00C14DB6">
        <w:rPr>
          <w:rFonts w:ascii="Times New Roman" w:hAnsi="Times New Roman"/>
          <w:color w:val="auto"/>
          <w:lang w:val="de-DE"/>
        </w:rPr>
        <w:tab/>
        <w:t xml:space="preserve">Janke, W.; Erdmann, G.; Boucsein, W. </w:t>
      </w:r>
      <w:r w:rsidRPr="00C14DB6">
        <w:rPr>
          <w:rFonts w:ascii="Times New Roman" w:hAnsi="Times New Roman"/>
          <w:i/>
          <w:iCs/>
          <w:color w:val="auto"/>
          <w:lang w:val="de-DE"/>
        </w:rPr>
        <w:t>Stressverarbeitungsfragebogen:(SVF)</w:t>
      </w:r>
      <w:r w:rsidRPr="00C14DB6">
        <w:rPr>
          <w:rFonts w:ascii="Times New Roman" w:hAnsi="Times New Roman"/>
          <w:color w:val="auto"/>
          <w:lang w:val="de-DE"/>
        </w:rPr>
        <w:t xml:space="preserve">; Verlag für Psychologie </w:t>
      </w:r>
      <w:r w:rsidRPr="00C14DB6">
        <w:rPr>
          <w:rFonts w:ascii="Times New Roman" w:hAnsi="Times New Roman"/>
          <w:color w:val="auto"/>
          <w:lang w:val="de-DE"/>
        </w:rPr>
        <w:lastRenderedPageBreak/>
        <w:t>Hogrefe, 1985;</w:t>
      </w:r>
    </w:p>
    <w:p w14:paraId="2B597722" w14:textId="77777777" w:rsidR="0056609F" w:rsidRPr="00C14DB6" w:rsidRDefault="0056609F" w:rsidP="00C14DB6">
      <w:pPr>
        <w:widowControl w:val="0"/>
        <w:autoSpaceDE w:val="0"/>
        <w:autoSpaceDN w:val="0"/>
        <w:adjustRightInd w:val="0"/>
        <w:rPr>
          <w:rFonts w:ascii="Times New Roman" w:hAnsi="Times New Roman"/>
          <w:color w:val="auto"/>
          <w:lang w:val="de-DE"/>
        </w:rPr>
      </w:pPr>
      <w:r w:rsidRPr="00C14DB6">
        <w:rPr>
          <w:rFonts w:ascii="Times New Roman" w:hAnsi="Times New Roman"/>
          <w:color w:val="auto"/>
          <w:lang w:val="de-DE"/>
        </w:rPr>
        <w:t xml:space="preserve">30. </w:t>
      </w:r>
      <w:r w:rsidRPr="00C14DB6">
        <w:rPr>
          <w:rFonts w:ascii="Times New Roman" w:hAnsi="Times New Roman"/>
          <w:color w:val="auto"/>
          <w:lang w:val="de-DE"/>
        </w:rPr>
        <w:tab/>
        <w:t xml:space="preserve">Krohne, H.W.; Egloff, B.; Kohlmann, C.-W.; Tausch, A. Untersuchungen Mit Einer Deutschen Version Der" Positive and Negative Affect Schedule"(PANAS). </w:t>
      </w:r>
      <w:r w:rsidRPr="00C14DB6">
        <w:rPr>
          <w:rFonts w:ascii="Times New Roman" w:hAnsi="Times New Roman"/>
          <w:i/>
          <w:iCs/>
          <w:color w:val="auto"/>
          <w:lang w:val="de-DE"/>
        </w:rPr>
        <w:t>researchgate.net</w:t>
      </w:r>
      <w:r w:rsidRPr="00C14DB6">
        <w:rPr>
          <w:rFonts w:ascii="Times New Roman" w:hAnsi="Times New Roman"/>
          <w:color w:val="auto"/>
          <w:lang w:val="de-DE"/>
        </w:rPr>
        <w:t xml:space="preserve"> </w:t>
      </w:r>
      <w:r w:rsidRPr="00C14DB6">
        <w:rPr>
          <w:rFonts w:ascii="Times New Roman" w:hAnsi="Times New Roman"/>
          <w:b/>
          <w:bCs/>
          <w:color w:val="auto"/>
          <w:lang w:val="de-DE"/>
        </w:rPr>
        <w:t>2014</w:t>
      </w:r>
      <w:r w:rsidRPr="00C14DB6">
        <w:rPr>
          <w:rFonts w:ascii="Times New Roman" w:hAnsi="Times New Roman"/>
          <w:color w:val="auto"/>
          <w:lang w:val="de-DE"/>
        </w:rPr>
        <w:t>, doi:10.1037/t49650-000.</w:t>
      </w:r>
    </w:p>
    <w:p w14:paraId="223C197D"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31. </w:t>
      </w:r>
      <w:r w:rsidRPr="00C14DB6">
        <w:rPr>
          <w:rFonts w:ascii="Times New Roman" w:hAnsi="Times New Roman"/>
          <w:color w:val="auto"/>
        </w:rPr>
        <w:tab/>
        <w:t xml:space="preserve">Schneider, F.; Gur, R.C.; Gur, R.E.; Muenz, L.R. Standardized Mood Induction with Happy and Sad Facial Expressions. </w:t>
      </w:r>
      <w:r w:rsidRPr="00C14DB6">
        <w:rPr>
          <w:rFonts w:ascii="Times New Roman" w:hAnsi="Times New Roman"/>
          <w:i/>
          <w:iCs/>
          <w:color w:val="auto"/>
        </w:rPr>
        <w:t>Psychiatry Research</w:t>
      </w:r>
      <w:r w:rsidRPr="00C14DB6">
        <w:rPr>
          <w:rFonts w:ascii="Times New Roman" w:hAnsi="Times New Roman"/>
          <w:color w:val="auto"/>
        </w:rPr>
        <w:t xml:space="preserve"> </w:t>
      </w:r>
      <w:r w:rsidRPr="00C14DB6">
        <w:rPr>
          <w:rFonts w:ascii="Times New Roman" w:hAnsi="Times New Roman"/>
          <w:b/>
          <w:bCs/>
          <w:color w:val="auto"/>
        </w:rPr>
        <w:t>1994</w:t>
      </w:r>
      <w:r w:rsidRPr="00C14DB6">
        <w:rPr>
          <w:rFonts w:ascii="Times New Roman" w:hAnsi="Times New Roman"/>
          <w:color w:val="auto"/>
        </w:rPr>
        <w:t xml:space="preserve">, </w:t>
      </w:r>
      <w:r w:rsidRPr="00C14DB6">
        <w:rPr>
          <w:rFonts w:ascii="Times New Roman" w:hAnsi="Times New Roman"/>
          <w:i/>
          <w:iCs/>
          <w:color w:val="auto"/>
        </w:rPr>
        <w:t>51</w:t>
      </w:r>
      <w:r w:rsidRPr="00C14DB6">
        <w:rPr>
          <w:rFonts w:ascii="Times New Roman" w:hAnsi="Times New Roman"/>
          <w:color w:val="auto"/>
        </w:rPr>
        <w:t>, 19–31, doi:10.1016/0165-1781(94)90044-2.</w:t>
      </w:r>
    </w:p>
    <w:p w14:paraId="76AA847B"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32. </w:t>
      </w:r>
      <w:r w:rsidRPr="00C14DB6">
        <w:rPr>
          <w:rFonts w:ascii="Times New Roman" w:hAnsi="Times New Roman"/>
          <w:color w:val="auto"/>
        </w:rPr>
        <w:tab/>
        <w:t xml:space="preserve">Kogler, L.; Seidel, E.M.; Metzler, H.; Thaler, H.; Boubela, R.N.; Pruessner, J.C.; Kryspin-Exner, I.; Gur, R.C.; Windischberger, C.; Moser, E.; et al. Impact of Self-Esteem and Sex on Stress Reactions. </w:t>
      </w:r>
      <w:r w:rsidRPr="00C14DB6">
        <w:rPr>
          <w:rFonts w:ascii="Times New Roman" w:hAnsi="Times New Roman"/>
          <w:i/>
          <w:iCs/>
          <w:color w:val="auto"/>
        </w:rPr>
        <w:t>Scientific reports</w:t>
      </w:r>
      <w:r w:rsidRPr="00C14DB6">
        <w:rPr>
          <w:rFonts w:ascii="Times New Roman" w:hAnsi="Times New Roman"/>
          <w:color w:val="auto"/>
        </w:rPr>
        <w:t xml:space="preserve"> </w:t>
      </w:r>
      <w:r w:rsidRPr="00C14DB6">
        <w:rPr>
          <w:rFonts w:ascii="Times New Roman" w:hAnsi="Times New Roman"/>
          <w:b/>
          <w:bCs/>
          <w:color w:val="auto"/>
        </w:rPr>
        <w:t>2017</w:t>
      </w:r>
      <w:r w:rsidRPr="00C14DB6">
        <w:rPr>
          <w:rFonts w:ascii="Times New Roman" w:hAnsi="Times New Roman"/>
          <w:color w:val="auto"/>
        </w:rPr>
        <w:t xml:space="preserve">, </w:t>
      </w:r>
      <w:r w:rsidRPr="00C14DB6">
        <w:rPr>
          <w:rFonts w:ascii="Times New Roman" w:hAnsi="Times New Roman"/>
          <w:i/>
          <w:iCs/>
          <w:color w:val="auto"/>
        </w:rPr>
        <w:t>7</w:t>
      </w:r>
      <w:r w:rsidRPr="00C14DB6">
        <w:rPr>
          <w:rFonts w:ascii="Times New Roman" w:hAnsi="Times New Roman"/>
          <w:color w:val="auto"/>
        </w:rPr>
        <w:t>, doi:10.1038/S41598-017-17485-W.</w:t>
      </w:r>
    </w:p>
    <w:p w14:paraId="06A96C1B"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33. </w:t>
      </w:r>
      <w:r w:rsidRPr="00C14DB6">
        <w:rPr>
          <w:rFonts w:ascii="Times New Roman" w:hAnsi="Times New Roman"/>
          <w:color w:val="auto"/>
        </w:rPr>
        <w:tab/>
        <w:t xml:space="preserve">Radke, S.; Seidel, E.M.; Boubela, R.N.; Thaler, H.; Metzler, H.; Kryspin-Exner, I.; Moser, E.; Habel, U.; Derntl, B. Immediate and Delayed Neuroendocrine Responses to Social Exclusion in Males and Females. </w:t>
      </w:r>
      <w:r w:rsidRPr="00C14DB6">
        <w:rPr>
          <w:rFonts w:ascii="Times New Roman" w:hAnsi="Times New Roman"/>
          <w:i/>
          <w:iCs/>
          <w:color w:val="auto"/>
        </w:rPr>
        <w:t>Psychoneuroendocrinology</w:t>
      </w:r>
      <w:r w:rsidRPr="00C14DB6">
        <w:rPr>
          <w:rFonts w:ascii="Times New Roman" w:hAnsi="Times New Roman"/>
          <w:color w:val="auto"/>
        </w:rPr>
        <w:t xml:space="preserve"> </w:t>
      </w:r>
      <w:r w:rsidRPr="00C14DB6">
        <w:rPr>
          <w:rFonts w:ascii="Times New Roman" w:hAnsi="Times New Roman"/>
          <w:b/>
          <w:bCs/>
          <w:color w:val="auto"/>
        </w:rPr>
        <w:t>2018</w:t>
      </w:r>
      <w:r w:rsidRPr="00C14DB6">
        <w:rPr>
          <w:rFonts w:ascii="Times New Roman" w:hAnsi="Times New Roman"/>
          <w:color w:val="auto"/>
        </w:rPr>
        <w:t xml:space="preserve">, </w:t>
      </w:r>
      <w:r w:rsidRPr="00C14DB6">
        <w:rPr>
          <w:rFonts w:ascii="Times New Roman" w:hAnsi="Times New Roman"/>
          <w:i/>
          <w:iCs/>
          <w:color w:val="auto"/>
        </w:rPr>
        <w:t>93</w:t>
      </w:r>
      <w:r w:rsidRPr="00C14DB6">
        <w:rPr>
          <w:rFonts w:ascii="Times New Roman" w:hAnsi="Times New Roman"/>
          <w:color w:val="auto"/>
        </w:rPr>
        <w:t>, 56–64, doi:10.1016/J.PSYNEUEN.2018.04.005.</w:t>
      </w:r>
    </w:p>
    <w:p w14:paraId="2CA50062"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34. </w:t>
      </w:r>
      <w:r w:rsidRPr="00C14DB6">
        <w:rPr>
          <w:rFonts w:ascii="Times New Roman" w:hAnsi="Times New Roman"/>
          <w:color w:val="auto"/>
        </w:rPr>
        <w:tab/>
        <w:t xml:space="preserve">Novembre, G.; Zanon, M.; Silani, G. Empathy for Social Exclusion Involves the Sensory-Discriminative Component of Pain: A within-Subject FMRI Study. </w:t>
      </w:r>
      <w:r w:rsidRPr="00C14DB6">
        <w:rPr>
          <w:rFonts w:ascii="Times New Roman" w:hAnsi="Times New Roman"/>
          <w:i/>
          <w:iCs/>
          <w:color w:val="auto"/>
        </w:rPr>
        <w:t>Social cognitive and affective neuroscience</w:t>
      </w:r>
      <w:r w:rsidRPr="00C14DB6">
        <w:rPr>
          <w:rFonts w:ascii="Times New Roman" w:hAnsi="Times New Roman"/>
          <w:color w:val="auto"/>
        </w:rPr>
        <w:t xml:space="preserve"> </w:t>
      </w:r>
      <w:r w:rsidRPr="00C14DB6">
        <w:rPr>
          <w:rFonts w:ascii="Times New Roman" w:hAnsi="Times New Roman"/>
          <w:b/>
          <w:bCs/>
          <w:color w:val="auto"/>
        </w:rPr>
        <w:t>2015</w:t>
      </w:r>
      <w:r w:rsidRPr="00C14DB6">
        <w:rPr>
          <w:rFonts w:ascii="Times New Roman" w:hAnsi="Times New Roman"/>
          <w:color w:val="auto"/>
        </w:rPr>
        <w:t xml:space="preserve">, </w:t>
      </w:r>
      <w:r w:rsidRPr="00C14DB6">
        <w:rPr>
          <w:rFonts w:ascii="Times New Roman" w:hAnsi="Times New Roman"/>
          <w:i/>
          <w:iCs/>
          <w:color w:val="auto"/>
        </w:rPr>
        <w:t>10</w:t>
      </w:r>
      <w:r w:rsidRPr="00C14DB6">
        <w:rPr>
          <w:rFonts w:ascii="Times New Roman" w:hAnsi="Times New Roman"/>
          <w:color w:val="auto"/>
        </w:rPr>
        <w:t>, 153–164, doi:10.1093/SCAN/NSU038.</w:t>
      </w:r>
    </w:p>
    <w:p w14:paraId="510C6866"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35. </w:t>
      </w:r>
      <w:r w:rsidRPr="00C14DB6">
        <w:rPr>
          <w:rFonts w:ascii="Times New Roman" w:hAnsi="Times New Roman"/>
          <w:color w:val="auto"/>
        </w:rPr>
        <w:tab/>
        <w:t xml:space="preserve">van Marle, H.J.F.; Hermans, E.J.; Qin, S.; Fernández, G. Enhanced Resting-State Connectivity of Amygdala in the Immediate Aftermath of Acute Psychological Stress.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2010</w:t>
      </w:r>
      <w:r w:rsidRPr="00C14DB6">
        <w:rPr>
          <w:rFonts w:ascii="Times New Roman" w:hAnsi="Times New Roman"/>
          <w:color w:val="auto"/>
        </w:rPr>
        <w:t xml:space="preserve">, </w:t>
      </w:r>
      <w:r w:rsidRPr="00C14DB6">
        <w:rPr>
          <w:rFonts w:ascii="Times New Roman" w:hAnsi="Times New Roman"/>
          <w:i/>
          <w:iCs/>
          <w:color w:val="auto"/>
        </w:rPr>
        <w:t>53</w:t>
      </w:r>
      <w:r w:rsidRPr="00C14DB6">
        <w:rPr>
          <w:rFonts w:ascii="Times New Roman" w:hAnsi="Times New Roman"/>
          <w:color w:val="auto"/>
        </w:rPr>
        <w:t>, 348–354, doi:10.1016/J.NEUROIMAGE.2010.05.070.</w:t>
      </w:r>
    </w:p>
    <w:p w14:paraId="640DDEC1" w14:textId="77777777" w:rsidR="0056609F" w:rsidRPr="00C14DB6" w:rsidRDefault="0056609F" w:rsidP="00C14DB6">
      <w:pPr>
        <w:widowControl w:val="0"/>
        <w:autoSpaceDE w:val="0"/>
        <w:autoSpaceDN w:val="0"/>
        <w:adjustRightInd w:val="0"/>
        <w:rPr>
          <w:rFonts w:ascii="Times New Roman" w:hAnsi="Times New Roman"/>
          <w:color w:val="auto"/>
          <w:lang w:val="de-DE"/>
        </w:rPr>
      </w:pPr>
      <w:r w:rsidRPr="00C14DB6">
        <w:rPr>
          <w:rFonts w:ascii="Times New Roman" w:hAnsi="Times New Roman"/>
          <w:color w:val="auto"/>
        </w:rPr>
        <w:t xml:space="preserve">36. </w:t>
      </w:r>
      <w:r w:rsidRPr="00C14DB6">
        <w:rPr>
          <w:rFonts w:ascii="Times New Roman" w:hAnsi="Times New Roman"/>
          <w:color w:val="auto"/>
        </w:rPr>
        <w:tab/>
        <w:t xml:space="preserve">Bolling, D.Z.; Pitskel, N.B.; Deen, B.; Crowley, M.J.; McPartland, J.C.; Mayes, L.C.; Pelphrey, K.A. Dissociable Brain Mechanisms for Processing Social Exclusion and Rule Violation. </w:t>
      </w:r>
      <w:r w:rsidRPr="00C14DB6">
        <w:rPr>
          <w:rFonts w:ascii="Times New Roman" w:hAnsi="Times New Roman"/>
          <w:i/>
          <w:iCs/>
          <w:color w:val="auto"/>
          <w:lang w:val="de-DE"/>
        </w:rPr>
        <w:t>NeuroImage</w:t>
      </w:r>
      <w:r w:rsidRPr="00C14DB6">
        <w:rPr>
          <w:rFonts w:ascii="Times New Roman" w:hAnsi="Times New Roman"/>
          <w:color w:val="auto"/>
          <w:lang w:val="de-DE"/>
        </w:rPr>
        <w:t xml:space="preserve"> </w:t>
      </w:r>
      <w:r w:rsidRPr="00C14DB6">
        <w:rPr>
          <w:rFonts w:ascii="Times New Roman" w:hAnsi="Times New Roman"/>
          <w:b/>
          <w:bCs/>
          <w:color w:val="auto"/>
          <w:lang w:val="de-DE"/>
        </w:rPr>
        <w:t>2011</w:t>
      </w:r>
      <w:r w:rsidRPr="00C14DB6">
        <w:rPr>
          <w:rFonts w:ascii="Times New Roman" w:hAnsi="Times New Roman"/>
          <w:color w:val="auto"/>
          <w:lang w:val="de-DE"/>
        </w:rPr>
        <w:t xml:space="preserve">, </w:t>
      </w:r>
      <w:r w:rsidRPr="00C14DB6">
        <w:rPr>
          <w:rFonts w:ascii="Times New Roman" w:hAnsi="Times New Roman"/>
          <w:i/>
          <w:iCs/>
          <w:color w:val="auto"/>
          <w:lang w:val="de-DE"/>
        </w:rPr>
        <w:t>54</w:t>
      </w:r>
      <w:r w:rsidRPr="00C14DB6">
        <w:rPr>
          <w:rFonts w:ascii="Times New Roman" w:hAnsi="Times New Roman"/>
          <w:color w:val="auto"/>
          <w:lang w:val="de-DE"/>
        </w:rPr>
        <w:t>, 2462–2471, doi:10.1016/J.NEUROIMAGE.2010.10.049.</w:t>
      </w:r>
    </w:p>
    <w:p w14:paraId="032779D1"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lang w:val="de-DE"/>
        </w:rPr>
        <w:t xml:space="preserve">37. </w:t>
      </w:r>
      <w:r w:rsidRPr="00C14DB6">
        <w:rPr>
          <w:rFonts w:ascii="Times New Roman" w:hAnsi="Times New Roman"/>
          <w:color w:val="auto"/>
          <w:lang w:val="de-DE"/>
        </w:rPr>
        <w:tab/>
        <w:t xml:space="preserve">Vaisvaser, S.; Lin, T.; Admon, R.; Podlipsky, I.; Greenman, Y.; Stern, N.; Fruchter, E.; Wald, I.; Pine, D.S.; Tarrasch, R.; et al. </w:t>
      </w:r>
      <w:r w:rsidRPr="00C14DB6">
        <w:rPr>
          <w:rFonts w:ascii="Times New Roman" w:hAnsi="Times New Roman"/>
          <w:color w:val="auto"/>
        </w:rPr>
        <w:t xml:space="preserve">Neural Traces of Stress: Cortisol Related Sustained Enhancement of Amygdala-Hippocampal Functional Connectivity. </w:t>
      </w:r>
      <w:r w:rsidRPr="00C14DB6">
        <w:rPr>
          <w:rFonts w:ascii="Times New Roman" w:hAnsi="Times New Roman"/>
          <w:i/>
          <w:iCs/>
          <w:color w:val="auto"/>
        </w:rPr>
        <w:t>Frontiers in human neuroscience</w:t>
      </w:r>
      <w:r w:rsidRPr="00C14DB6">
        <w:rPr>
          <w:rFonts w:ascii="Times New Roman" w:hAnsi="Times New Roman"/>
          <w:color w:val="auto"/>
        </w:rPr>
        <w:t xml:space="preserve"> </w:t>
      </w:r>
      <w:r w:rsidRPr="00C14DB6">
        <w:rPr>
          <w:rFonts w:ascii="Times New Roman" w:hAnsi="Times New Roman"/>
          <w:b/>
          <w:bCs/>
          <w:color w:val="auto"/>
        </w:rPr>
        <w:t>2013</w:t>
      </w:r>
      <w:r w:rsidRPr="00C14DB6">
        <w:rPr>
          <w:rFonts w:ascii="Times New Roman" w:hAnsi="Times New Roman"/>
          <w:color w:val="auto"/>
        </w:rPr>
        <w:t xml:space="preserve">, </w:t>
      </w:r>
      <w:r w:rsidRPr="00C14DB6">
        <w:rPr>
          <w:rFonts w:ascii="Times New Roman" w:hAnsi="Times New Roman"/>
          <w:i/>
          <w:iCs/>
          <w:color w:val="auto"/>
        </w:rPr>
        <w:t>7</w:t>
      </w:r>
      <w:r w:rsidRPr="00C14DB6">
        <w:rPr>
          <w:rFonts w:ascii="Times New Roman" w:hAnsi="Times New Roman"/>
          <w:color w:val="auto"/>
        </w:rPr>
        <w:t>, doi:10.3389/FNHUM.2013.00313.</w:t>
      </w:r>
    </w:p>
    <w:p w14:paraId="1C790964"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38. </w:t>
      </w:r>
      <w:r w:rsidRPr="00C14DB6">
        <w:rPr>
          <w:rFonts w:ascii="Times New Roman" w:hAnsi="Times New Roman"/>
          <w:color w:val="auto"/>
        </w:rPr>
        <w:tab/>
        <w:t xml:space="preserve">Nostro, A.D.; Müller, V.I.; Varikuti, D.P.; Pläschke, R.N.; Hoffstaedter, F.; Langner, R.; Patil, K.R.; Eickhoff, S.B. Predicting Personality from Network-Based Resting-State Functional Connectivity. </w:t>
      </w:r>
      <w:r w:rsidRPr="00C14DB6">
        <w:rPr>
          <w:rFonts w:ascii="Times New Roman" w:hAnsi="Times New Roman"/>
          <w:i/>
          <w:iCs/>
          <w:color w:val="auto"/>
        </w:rPr>
        <w:t>Brain structure &amp; function</w:t>
      </w:r>
      <w:r w:rsidRPr="00C14DB6">
        <w:rPr>
          <w:rFonts w:ascii="Times New Roman" w:hAnsi="Times New Roman"/>
          <w:color w:val="auto"/>
        </w:rPr>
        <w:t xml:space="preserve"> </w:t>
      </w:r>
      <w:r w:rsidRPr="00C14DB6">
        <w:rPr>
          <w:rFonts w:ascii="Times New Roman" w:hAnsi="Times New Roman"/>
          <w:b/>
          <w:bCs/>
          <w:color w:val="auto"/>
        </w:rPr>
        <w:t>2018</w:t>
      </w:r>
      <w:r w:rsidRPr="00C14DB6">
        <w:rPr>
          <w:rFonts w:ascii="Times New Roman" w:hAnsi="Times New Roman"/>
          <w:color w:val="auto"/>
        </w:rPr>
        <w:t xml:space="preserve">, </w:t>
      </w:r>
      <w:r w:rsidRPr="00C14DB6">
        <w:rPr>
          <w:rFonts w:ascii="Times New Roman" w:hAnsi="Times New Roman"/>
          <w:i/>
          <w:iCs/>
          <w:color w:val="auto"/>
        </w:rPr>
        <w:t>223</w:t>
      </w:r>
      <w:r w:rsidRPr="00C14DB6">
        <w:rPr>
          <w:rFonts w:ascii="Times New Roman" w:hAnsi="Times New Roman"/>
          <w:color w:val="auto"/>
        </w:rPr>
        <w:t>, 2699–2719, doi:10.1007/S00429-018-1651-Z.</w:t>
      </w:r>
    </w:p>
    <w:p w14:paraId="6A69F93A"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39. </w:t>
      </w:r>
      <w:r w:rsidRPr="00C14DB6">
        <w:rPr>
          <w:rFonts w:ascii="Times New Roman" w:hAnsi="Times New Roman"/>
          <w:color w:val="auto"/>
        </w:rPr>
        <w:tab/>
        <w:t xml:space="preserve">Robinson, S.; Pripfl, J.; Bauer, H.; Moser, E. The Impact of EPI Voxel Size on SNR and BOLD Sensitivity in the Anterior Medio-Temporal Lobe: A Comparative Group Study of Deactivation of the Default Mode. </w:t>
      </w:r>
      <w:r w:rsidRPr="00C14DB6">
        <w:rPr>
          <w:rFonts w:ascii="Times New Roman" w:hAnsi="Times New Roman"/>
          <w:i/>
          <w:iCs/>
          <w:color w:val="auto"/>
        </w:rPr>
        <w:t>Magma (New York, N.Y.)</w:t>
      </w:r>
      <w:r w:rsidRPr="00C14DB6">
        <w:rPr>
          <w:rFonts w:ascii="Times New Roman" w:hAnsi="Times New Roman"/>
          <w:color w:val="auto"/>
        </w:rPr>
        <w:t xml:space="preserve"> </w:t>
      </w:r>
      <w:r w:rsidRPr="00C14DB6">
        <w:rPr>
          <w:rFonts w:ascii="Times New Roman" w:hAnsi="Times New Roman"/>
          <w:b/>
          <w:bCs/>
          <w:color w:val="auto"/>
        </w:rPr>
        <w:t>2008</w:t>
      </w:r>
      <w:r w:rsidRPr="00C14DB6">
        <w:rPr>
          <w:rFonts w:ascii="Times New Roman" w:hAnsi="Times New Roman"/>
          <w:color w:val="auto"/>
        </w:rPr>
        <w:t xml:space="preserve">, </w:t>
      </w:r>
      <w:r w:rsidRPr="00C14DB6">
        <w:rPr>
          <w:rFonts w:ascii="Times New Roman" w:hAnsi="Times New Roman"/>
          <w:i/>
          <w:iCs/>
          <w:color w:val="auto"/>
        </w:rPr>
        <w:t>21</w:t>
      </w:r>
      <w:r w:rsidRPr="00C14DB6">
        <w:rPr>
          <w:rFonts w:ascii="Times New Roman" w:hAnsi="Times New Roman"/>
          <w:color w:val="auto"/>
        </w:rPr>
        <w:t>, 279–290, doi:10.1007/S10334-008-0128-0.</w:t>
      </w:r>
    </w:p>
    <w:p w14:paraId="7E8B03E1"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40. </w:t>
      </w:r>
      <w:r w:rsidRPr="00C14DB6">
        <w:rPr>
          <w:rFonts w:ascii="Times New Roman" w:hAnsi="Times New Roman"/>
          <w:color w:val="auto"/>
        </w:rPr>
        <w:tab/>
        <w:t xml:space="preserve">Robinson, S.; Moser, E.; Peper, M. FMRI of Emotion. </w:t>
      </w:r>
      <w:r w:rsidRPr="00C14DB6">
        <w:rPr>
          <w:rFonts w:ascii="Times New Roman" w:hAnsi="Times New Roman"/>
          <w:i/>
          <w:iCs/>
          <w:color w:val="auto"/>
        </w:rPr>
        <w:t>Neuromethods</w:t>
      </w:r>
      <w:r w:rsidRPr="00C14DB6">
        <w:rPr>
          <w:rFonts w:ascii="Times New Roman" w:hAnsi="Times New Roman"/>
          <w:color w:val="auto"/>
        </w:rPr>
        <w:t xml:space="preserve"> </w:t>
      </w:r>
      <w:r w:rsidRPr="00C14DB6">
        <w:rPr>
          <w:rFonts w:ascii="Times New Roman" w:hAnsi="Times New Roman"/>
          <w:b/>
          <w:bCs/>
          <w:color w:val="auto"/>
        </w:rPr>
        <w:t>2009</w:t>
      </w:r>
      <w:r w:rsidRPr="00C14DB6">
        <w:rPr>
          <w:rFonts w:ascii="Times New Roman" w:hAnsi="Times New Roman"/>
          <w:color w:val="auto"/>
        </w:rPr>
        <w:t xml:space="preserve">, </w:t>
      </w:r>
      <w:r w:rsidRPr="00C14DB6">
        <w:rPr>
          <w:rFonts w:ascii="Times New Roman" w:hAnsi="Times New Roman"/>
          <w:i/>
          <w:iCs/>
          <w:color w:val="auto"/>
        </w:rPr>
        <w:t>41</w:t>
      </w:r>
      <w:r w:rsidRPr="00C14DB6">
        <w:rPr>
          <w:rFonts w:ascii="Times New Roman" w:hAnsi="Times New Roman"/>
          <w:color w:val="auto"/>
        </w:rPr>
        <w:t>, 411–456, doi:10.1007/978-1-60327-919-2_14.</w:t>
      </w:r>
    </w:p>
    <w:p w14:paraId="3620B877"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41. </w:t>
      </w:r>
      <w:r w:rsidRPr="00C14DB6">
        <w:rPr>
          <w:rFonts w:ascii="Times New Roman" w:hAnsi="Times New Roman"/>
          <w:color w:val="auto"/>
        </w:rPr>
        <w:tab/>
        <w:t xml:space="preserve">Holmes, C.J.; Hoge, R.; Collins, L.; Woods, R.; Toga, A.W.; Evans, A.C. Enhancement of MR Images Using Registration for Signal Averaging. </w:t>
      </w:r>
      <w:r w:rsidRPr="00C14DB6">
        <w:rPr>
          <w:rFonts w:ascii="Times New Roman" w:hAnsi="Times New Roman"/>
          <w:i/>
          <w:iCs/>
          <w:color w:val="auto"/>
        </w:rPr>
        <w:t>Journal of computer assisted tomography</w:t>
      </w:r>
      <w:r w:rsidRPr="00C14DB6">
        <w:rPr>
          <w:rFonts w:ascii="Times New Roman" w:hAnsi="Times New Roman"/>
          <w:color w:val="auto"/>
        </w:rPr>
        <w:t xml:space="preserve"> </w:t>
      </w:r>
      <w:r w:rsidRPr="00C14DB6">
        <w:rPr>
          <w:rFonts w:ascii="Times New Roman" w:hAnsi="Times New Roman"/>
          <w:b/>
          <w:bCs/>
          <w:color w:val="auto"/>
        </w:rPr>
        <w:t>1998</w:t>
      </w:r>
      <w:r w:rsidRPr="00C14DB6">
        <w:rPr>
          <w:rFonts w:ascii="Times New Roman" w:hAnsi="Times New Roman"/>
          <w:color w:val="auto"/>
        </w:rPr>
        <w:t xml:space="preserve">, </w:t>
      </w:r>
      <w:r w:rsidRPr="00C14DB6">
        <w:rPr>
          <w:rFonts w:ascii="Times New Roman" w:hAnsi="Times New Roman"/>
          <w:i/>
          <w:iCs/>
          <w:color w:val="auto"/>
        </w:rPr>
        <w:t>22</w:t>
      </w:r>
      <w:r w:rsidRPr="00C14DB6">
        <w:rPr>
          <w:rFonts w:ascii="Times New Roman" w:hAnsi="Times New Roman"/>
          <w:color w:val="auto"/>
        </w:rPr>
        <w:t>, 324–333, doi:10.1097/00004728-199803000-00032.</w:t>
      </w:r>
    </w:p>
    <w:p w14:paraId="20516C19"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42. </w:t>
      </w:r>
      <w:r w:rsidRPr="00C14DB6">
        <w:rPr>
          <w:rFonts w:ascii="Times New Roman" w:hAnsi="Times New Roman"/>
          <w:color w:val="auto"/>
        </w:rPr>
        <w:tab/>
        <w:t xml:space="preserve">Ashburner, J.; Friston, K.J. Unified Segmentation.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2005</w:t>
      </w:r>
      <w:r w:rsidRPr="00C14DB6">
        <w:rPr>
          <w:rFonts w:ascii="Times New Roman" w:hAnsi="Times New Roman"/>
          <w:color w:val="auto"/>
        </w:rPr>
        <w:t xml:space="preserve">, </w:t>
      </w:r>
      <w:r w:rsidRPr="00C14DB6">
        <w:rPr>
          <w:rFonts w:ascii="Times New Roman" w:hAnsi="Times New Roman"/>
          <w:i/>
          <w:iCs/>
          <w:color w:val="auto"/>
        </w:rPr>
        <w:t>26</w:t>
      </w:r>
      <w:r w:rsidRPr="00C14DB6">
        <w:rPr>
          <w:rFonts w:ascii="Times New Roman" w:hAnsi="Times New Roman"/>
          <w:color w:val="auto"/>
        </w:rPr>
        <w:t>, 839–851, doi:10.1016/J.NEUROIMAGE.2005.02.018.</w:t>
      </w:r>
    </w:p>
    <w:p w14:paraId="6EACBDC4"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43. </w:t>
      </w:r>
      <w:r w:rsidRPr="00C14DB6">
        <w:rPr>
          <w:rFonts w:ascii="Times New Roman" w:hAnsi="Times New Roman"/>
          <w:color w:val="auto"/>
        </w:rPr>
        <w:tab/>
        <w:t xml:space="preserve">Weissenbacher, A.; Kasess, C.; Gerstl, F.; Lanzenberger, R.; Moser, E.; Windischberger, C. Correlations and Anticorrelations in Resting-State Functional Connectivity MRI: A Quantitative Comparison of Preprocessing Strategies.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2009</w:t>
      </w:r>
      <w:r w:rsidRPr="00C14DB6">
        <w:rPr>
          <w:rFonts w:ascii="Times New Roman" w:hAnsi="Times New Roman"/>
          <w:color w:val="auto"/>
        </w:rPr>
        <w:t xml:space="preserve">, </w:t>
      </w:r>
      <w:r w:rsidRPr="00C14DB6">
        <w:rPr>
          <w:rFonts w:ascii="Times New Roman" w:hAnsi="Times New Roman"/>
          <w:i/>
          <w:iCs/>
          <w:color w:val="auto"/>
        </w:rPr>
        <w:t>47</w:t>
      </w:r>
      <w:r w:rsidRPr="00C14DB6">
        <w:rPr>
          <w:rFonts w:ascii="Times New Roman" w:hAnsi="Times New Roman"/>
          <w:color w:val="auto"/>
        </w:rPr>
        <w:t>, 1408–1416, doi:10.1016/J.NEUROIMAGE.2009.05.005.</w:t>
      </w:r>
    </w:p>
    <w:p w14:paraId="73F8FB5D"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44. </w:t>
      </w:r>
      <w:r w:rsidRPr="00C14DB6">
        <w:rPr>
          <w:rFonts w:ascii="Times New Roman" w:hAnsi="Times New Roman"/>
          <w:color w:val="auto"/>
        </w:rPr>
        <w:tab/>
        <w:t xml:space="preserve">Satterthwaite, T.D.; Elliott, M.A.; Gerraty, R.T.; Ruparel, K.; Loughead, J.; Calkins, M.E.; Eickhoff, S.B.; Hakonarson, H.; Gur, R.C.; Gur, R.E.; et al. An Improved Framework for Confound Regression and Filtering for Control of Motion Artifact in the Preprocessing of Resting-State Functional Connectivity Data.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2013</w:t>
      </w:r>
      <w:r w:rsidRPr="00C14DB6">
        <w:rPr>
          <w:rFonts w:ascii="Times New Roman" w:hAnsi="Times New Roman"/>
          <w:color w:val="auto"/>
        </w:rPr>
        <w:t xml:space="preserve">, </w:t>
      </w:r>
      <w:r w:rsidRPr="00C14DB6">
        <w:rPr>
          <w:rFonts w:ascii="Times New Roman" w:hAnsi="Times New Roman"/>
          <w:i/>
          <w:iCs/>
          <w:color w:val="auto"/>
        </w:rPr>
        <w:t>64</w:t>
      </w:r>
      <w:r w:rsidRPr="00C14DB6">
        <w:rPr>
          <w:rFonts w:ascii="Times New Roman" w:hAnsi="Times New Roman"/>
          <w:color w:val="auto"/>
        </w:rPr>
        <w:t>, 240–256, doi:10.1016/J.NEUROIMAGE.2012.08.052.</w:t>
      </w:r>
    </w:p>
    <w:p w14:paraId="31D02608"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lastRenderedPageBreak/>
        <w:t xml:space="preserve">45. </w:t>
      </w:r>
      <w:r w:rsidRPr="00C14DB6">
        <w:rPr>
          <w:rFonts w:ascii="Times New Roman" w:hAnsi="Times New Roman"/>
          <w:color w:val="auto"/>
        </w:rPr>
        <w:tab/>
        <w:t xml:space="preserve">Correll, J.; Mellinger, C.; Pedersen, E.J. Flexible Approaches for Estimating Partial Eta Squared in Mixed-Effects Models with Crossed Random Factors. </w:t>
      </w:r>
      <w:r w:rsidRPr="00C14DB6">
        <w:rPr>
          <w:rFonts w:ascii="Times New Roman" w:hAnsi="Times New Roman"/>
          <w:i/>
          <w:iCs/>
          <w:color w:val="auto"/>
        </w:rPr>
        <w:t>Behav Res</w:t>
      </w:r>
      <w:r w:rsidRPr="00C14DB6">
        <w:rPr>
          <w:rFonts w:ascii="Times New Roman" w:hAnsi="Times New Roman"/>
          <w:color w:val="auto"/>
        </w:rPr>
        <w:t xml:space="preserve"> </w:t>
      </w:r>
      <w:r w:rsidRPr="00C14DB6">
        <w:rPr>
          <w:rFonts w:ascii="Times New Roman" w:hAnsi="Times New Roman"/>
          <w:b/>
          <w:bCs/>
          <w:color w:val="auto"/>
        </w:rPr>
        <w:t>2022</w:t>
      </w:r>
      <w:r w:rsidRPr="00C14DB6">
        <w:rPr>
          <w:rFonts w:ascii="Times New Roman" w:hAnsi="Times New Roman"/>
          <w:color w:val="auto"/>
        </w:rPr>
        <w:t xml:space="preserve">, </w:t>
      </w:r>
      <w:r w:rsidRPr="00C14DB6">
        <w:rPr>
          <w:rFonts w:ascii="Times New Roman" w:hAnsi="Times New Roman"/>
          <w:i/>
          <w:iCs/>
          <w:color w:val="auto"/>
        </w:rPr>
        <w:t>54</w:t>
      </w:r>
      <w:r w:rsidRPr="00C14DB6">
        <w:rPr>
          <w:rFonts w:ascii="Times New Roman" w:hAnsi="Times New Roman"/>
          <w:color w:val="auto"/>
        </w:rPr>
        <w:t>, 1626–1642, doi:10.3758/s13428-021-01687-2.</w:t>
      </w:r>
    </w:p>
    <w:p w14:paraId="194FD581"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46. </w:t>
      </w:r>
      <w:r w:rsidRPr="00C14DB6">
        <w:rPr>
          <w:rFonts w:ascii="Times New Roman" w:hAnsi="Times New Roman"/>
          <w:color w:val="auto"/>
        </w:rPr>
        <w:tab/>
        <w:t xml:space="preserve">Power, J.D.; Barnes, K.A.; Snyder, A.Z.; Schlaggar, B.L.; Petersen, S.E. Spurious but Systematic Correlations in Functional Connectivity MRI Networks Arise from Subject Motion. </w:t>
      </w:r>
      <w:r w:rsidRPr="00C14DB6">
        <w:rPr>
          <w:rFonts w:ascii="Times New Roman" w:hAnsi="Times New Roman"/>
          <w:i/>
          <w:iCs/>
          <w:color w:val="auto"/>
        </w:rPr>
        <w:t>NeuroImage</w:t>
      </w:r>
      <w:r w:rsidRPr="00C14DB6">
        <w:rPr>
          <w:rFonts w:ascii="Times New Roman" w:hAnsi="Times New Roman"/>
          <w:color w:val="auto"/>
        </w:rPr>
        <w:t xml:space="preserve"> </w:t>
      </w:r>
      <w:r w:rsidRPr="00C14DB6">
        <w:rPr>
          <w:rFonts w:ascii="Times New Roman" w:hAnsi="Times New Roman"/>
          <w:b/>
          <w:bCs/>
          <w:color w:val="auto"/>
        </w:rPr>
        <w:t>2012</w:t>
      </w:r>
      <w:r w:rsidRPr="00C14DB6">
        <w:rPr>
          <w:rFonts w:ascii="Times New Roman" w:hAnsi="Times New Roman"/>
          <w:color w:val="auto"/>
        </w:rPr>
        <w:t xml:space="preserve">, </w:t>
      </w:r>
      <w:r w:rsidRPr="00C14DB6">
        <w:rPr>
          <w:rFonts w:ascii="Times New Roman" w:hAnsi="Times New Roman"/>
          <w:i/>
          <w:iCs/>
          <w:color w:val="auto"/>
        </w:rPr>
        <w:t>59</w:t>
      </w:r>
      <w:r w:rsidRPr="00C14DB6">
        <w:rPr>
          <w:rFonts w:ascii="Times New Roman" w:hAnsi="Times New Roman"/>
          <w:color w:val="auto"/>
        </w:rPr>
        <w:t>, 2142–2154, doi:10.1016/J.NEUROIMAGE.2011.10.018.</w:t>
      </w:r>
    </w:p>
    <w:p w14:paraId="26BE6C1D"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47. </w:t>
      </w:r>
      <w:r w:rsidRPr="00C14DB6">
        <w:rPr>
          <w:rFonts w:ascii="Times New Roman" w:hAnsi="Times New Roman"/>
          <w:color w:val="auto"/>
        </w:rPr>
        <w:tab/>
        <w:t xml:space="preserve">Rose, A.J.; Rudolph, K.D. A Review of Sex Differences in Peer Relationship Processes: Potential Trade-Offs for the Emotional and Behavioral Development of Girls and Boys. </w:t>
      </w:r>
      <w:r w:rsidRPr="00C14DB6">
        <w:rPr>
          <w:rFonts w:ascii="Times New Roman" w:hAnsi="Times New Roman"/>
          <w:i/>
          <w:iCs/>
          <w:color w:val="auto"/>
        </w:rPr>
        <w:t>Psychological bulletin</w:t>
      </w:r>
      <w:r w:rsidRPr="00C14DB6">
        <w:rPr>
          <w:rFonts w:ascii="Times New Roman" w:hAnsi="Times New Roman"/>
          <w:color w:val="auto"/>
        </w:rPr>
        <w:t xml:space="preserve"> </w:t>
      </w:r>
      <w:r w:rsidRPr="00C14DB6">
        <w:rPr>
          <w:rFonts w:ascii="Times New Roman" w:hAnsi="Times New Roman"/>
          <w:b/>
          <w:bCs/>
          <w:color w:val="auto"/>
        </w:rPr>
        <w:t>2006</w:t>
      </w:r>
      <w:r w:rsidRPr="00C14DB6">
        <w:rPr>
          <w:rFonts w:ascii="Times New Roman" w:hAnsi="Times New Roman"/>
          <w:color w:val="auto"/>
        </w:rPr>
        <w:t xml:space="preserve">, </w:t>
      </w:r>
      <w:r w:rsidRPr="00C14DB6">
        <w:rPr>
          <w:rFonts w:ascii="Times New Roman" w:hAnsi="Times New Roman"/>
          <w:i/>
          <w:iCs/>
          <w:color w:val="auto"/>
        </w:rPr>
        <w:t>132</w:t>
      </w:r>
      <w:r w:rsidRPr="00C14DB6">
        <w:rPr>
          <w:rFonts w:ascii="Times New Roman" w:hAnsi="Times New Roman"/>
          <w:color w:val="auto"/>
        </w:rPr>
        <w:t>, 98, doi:10.1037/0033-2909.132.1.98.</w:t>
      </w:r>
    </w:p>
    <w:p w14:paraId="72465B7D"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48. </w:t>
      </w:r>
      <w:r w:rsidRPr="00C14DB6">
        <w:rPr>
          <w:rFonts w:ascii="Times New Roman" w:hAnsi="Times New Roman"/>
          <w:color w:val="auto"/>
        </w:rPr>
        <w:tab/>
        <w:t xml:space="preserve">Kleshchova, O.; Rieder, J.K.; Grinband, J.; Weierich, M.R. Resting Amygdala Connectivity and Basal Sympathetic Tone as Markers of Chronic Hypervigilance. </w:t>
      </w:r>
      <w:r w:rsidRPr="00C14DB6">
        <w:rPr>
          <w:rFonts w:ascii="Times New Roman" w:hAnsi="Times New Roman"/>
          <w:i/>
          <w:iCs/>
          <w:color w:val="auto"/>
        </w:rPr>
        <w:t>Psychoneuroendocrinology</w:t>
      </w:r>
      <w:r w:rsidRPr="00C14DB6">
        <w:rPr>
          <w:rFonts w:ascii="Times New Roman" w:hAnsi="Times New Roman"/>
          <w:color w:val="auto"/>
        </w:rPr>
        <w:t xml:space="preserve"> </w:t>
      </w:r>
      <w:r w:rsidRPr="00C14DB6">
        <w:rPr>
          <w:rFonts w:ascii="Times New Roman" w:hAnsi="Times New Roman"/>
          <w:b/>
          <w:bCs/>
          <w:color w:val="auto"/>
        </w:rPr>
        <w:t>2019</w:t>
      </w:r>
      <w:r w:rsidRPr="00C14DB6">
        <w:rPr>
          <w:rFonts w:ascii="Times New Roman" w:hAnsi="Times New Roman"/>
          <w:color w:val="auto"/>
        </w:rPr>
        <w:t xml:space="preserve">, </w:t>
      </w:r>
      <w:r w:rsidRPr="00C14DB6">
        <w:rPr>
          <w:rFonts w:ascii="Times New Roman" w:hAnsi="Times New Roman"/>
          <w:i/>
          <w:iCs/>
          <w:color w:val="auto"/>
        </w:rPr>
        <w:t>102</w:t>
      </w:r>
      <w:r w:rsidRPr="00C14DB6">
        <w:rPr>
          <w:rFonts w:ascii="Times New Roman" w:hAnsi="Times New Roman"/>
          <w:color w:val="auto"/>
        </w:rPr>
        <w:t>, 68–78, doi:10.1016/J.PSYNEUEN.2018.11.036.</w:t>
      </w:r>
    </w:p>
    <w:p w14:paraId="1030CB24"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49. </w:t>
      </w:r>
      <w:r w:rsidRPr="00C14DB6">
        <w:rPr>
          <w:rFonts w:ascii="Times New Roman" w:hAnsi="Times New Roman"/>
          <w:color w:val="auto"/>
        </w:rPr>
        <w:tab/>
        <w:t xml:space="preserve">Costafreda, S.G.; McCann, P.; Saker, P.; Cole, J.H.; Cohen-Woods, S.; Farmer, A.E.; Aitchison, K.J.; McGuffin, P.; Fu, C.H.Y. Modulation of Amygdala Response and Connectivity in Depression by Serotonin Transporter Polymorphism and Diagnosis. </w:t>
      </w:r>
      <w:r w:rsidRPr="00C14DB6">
        <w:rPr>
          <w:rFonts w:ascii="Times New Roman" w:hAnsi="Times New Roman"/>
          <w:i/>
          <w:iCs/>
          <w:color w:val="auto"/>
        </w:rPr>
        <w:t>Journal of Affective Disorders</w:t>
      </w:r>
      <w:r w:rsidRPr="00C14DB6">
        <w:rPr>
          <w:rFonts w:ascii="Times New Roman" w:hAnsi="Times New Roman"/>
          <w:color w:val="auto"/>
        </w:rPr>
        <w:t xml:space="preserve"> </w:t>
      </w:r>
      <w:r w:rsidRPr="00C14DB6">
        <w:rPr>
          <w:rFonts w:ascii="Times New Roman" w:hAnsi="Times New Roman"/>
          <w:b/>
          <w:bCs/>
          <w:color w:val="auto"/>
        </w:rPr>
        <w:t>2013</w:t>
      </w:r>
      <w:r w:rsidRPr="00C14DB6">
        <w:rPr>
          <w:rFonts w:ascii="Times New Roman" w:hAnsi="Times New Roman"/>
          <w:color w:val="auto"/>
        </w:rPr>
        <w:t xml:space="preserve">, </w:t>
      </w:r>
      <w:r w:rsidRPr="00C14DB6">
        <w:rPr>
          <w:rFonts w:ascii="Times New Roman" w:hAnsi="Times New Roman"/>
          <w:i/>
          <w:iCs/>
          <w:color w:val="auto"/>
        </w:rPr>
        <w:t>150</w:t>
      </w:r>
      <w:r w:rsidRPr="00C14DB6">
        <w:rPr>
          <w:rFonts w:ascii="Times New Roman" w:hAnsi="Times New Roman"/>
          <w:color w:val="auto"/>
        </w:rPr>
        <w:t>, 96–103, doi:10.1016/j.jad.2013.02.028.</w:t>
      </w:r>
    </w:p>
    <w:p w14:paraId="3AEDD9F4"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50. </w:t>
      </w:r>
      <w:r w:rsidRPr="00C14DB6">
        <w:rPr>
          <w:rFonts w:ascii="Times New Roman" w:hAnsi="Times New Roman"/>
          <w:color w:val="auto"/>
        </w:rPr>
        <w:tab/>
        <w:t xml:space="preserve">Kanske, P.; Kotz, S.A. Emotion Speeds up Conflict Resolution: A New Role for the Ventral Anterior Cingulate Cortex? </w:t>
      </w:r>
      <w:r w:rsidRPr="00C14DB6">
        <w:rPr>
          <w:rFonts w:ascii="Times New Roman" w:hAnsi="Times New Roman"/>
          <w:i/>
          <w:iCs/>
          <w:color w:val="auto"/>
        </w:rPr>
        <w:t>Cerebral Cortex</w:t>
      </w:r>
      <w:r w:rsidRPr="00C14DB6">
        <w:rPr>
          <w:rFonts w:ascii="Times New Roman" w:hAnsi="Times New Roman"/>
          <w:color w:val="auto"/>
        </w:rPr>
        <w:t xml:space="preserve"> </w:t>
      </w:r>
      <w:r w:rsidRPr="00C14DB6">
        <w:rPr>
          <w:rFonts w:ascii="Times New Roman" w:hAnsi="Times New Roman"/>
          <w:b/>
          <w:bCs/>
          <w:color w:val="auto"/>
        </w:rPr>
        <w:t>2011</w:t>
      </w:r>
      <w:r w:rsidRPr="00C14DB6">
        <w:rPr>
          <w:rFonts w:ascii="Times New Roman" w:hAnsi="Times New Roman"/>
          <w:color w:val="auto"/>
        </w:rPr>
        <w:t xml:space="preserve">, </w:t>
      </w:r>
      <w:r w:rsidRPr="00C14DB6">
        <w:rPr>
          <w:rFonts w:ascii="Times New Roman" w:hAnsi="Times New Roman"/>
          <w:i/>
          <w:iCs/>
          <w:color w:val="auto"/>
        </w:rPr>
        <w:t>21</w:t>
      </w:r>
      <w:r w:rsidRPr="00C14DB6">
        <w:rPr>
          <w:rFonts w:ascii="Times New Roman" w:hAnsi="Times New Roman"/>
          <w:color w:val="auto"/>
        </w:rPr>
        <w:t>, 911–919, doi:10.1093/CERCOR/BHQ157.</w:t>
      </w:r>
    </w:p>
    <w:p w14:paraId="51CF301E"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51. </w:t>
      </w:r>
      <w:r w:rsidRPr="00C14DB6">
        <w:rPr>
          <w:rFonts w:ascii="Times New Roman" w:hAnsi="Times New Roman"/>
          <w:color w:val="auto"/>
        </w:rPr>
        <w:tab/>
        <w:t xml:space="preserve">Stevens, F.L.; Hurley, R.A.; Taber, K.H.; Hurley, R.A.; Hayman, L.A.; Taber, K.H. Anterior Cingulate Cortex: Unique Role in Cognition and Emotion. </w:t>
      </w:r>
      <w:r w:rsidRPr="00C14DB6">
        <w:rPr>
          <w:rFonts w:ascii="Times New Roman" w:hAnsi="Times New Roman"/>
          <w:i/>
          <w:iCs/>
          <w:color w:val="auto"/>
        </w:rPr>
        <w:t>JNP</w:t>
      </w:r>
      <w:r w:rsidRPr="00C14DB6">
        <w:rPr>
          <w:rFonts w:ascii="Times New Roman" w:hAnsi="Times New Roman"/>
          <w:color w:val="auto"/>
        </w:rPr>
        <w:t xml:space="preserve"> </w:t>
      </w:r>
      <w:r w:rsidRPr="00C14DB6">
        <w:rPr>
          <w:rFonts w:ascii="Times New Roman" w:hAnsi="Times New Roman"/>
          <w:b/>
          <w:bCs/>
          <w:color w:val="auto"/>
        </w:rPr>
        <w:t>2011</w:t>
      </w:r>
      <w:r w:rsidRPr="00C14DB6">
        <w:rPr>
          <w:rFonts w:ascii="Times New Roman" w:hAnsi="Times New Roman"/>
          <w:color w:val="auto"/>
        </w:rPr>
        <w:t xml:space="preserve">, </w:t>
      </w:r>
      <w:r w:rsidRPr="00C14DB6">
        <w:rPr>
          <w:rFonts w:ascii="Times New Roman" w:hAnsi="Times New Roman"/>
          <w:i/>
          <w:iCs/>
          <w:color w:val="auto"/>
        </w:rPr>
        <w:t>23</w:t>
      </w:r>
      <w:r w:rsidRPr="00C14DB6">
        <w:rPr>
          <w:rFonts w:ascii="Times New Roman" w:hAnsi="Times New Roman"/>
          <w:color w:val="auto"/>
        </w:rPr>
        <w:t>, 121–125, doi:10.1176/jnp.23.2.jnp121.</w:t>
      </w:r>
    </w:p>
    <w:p w14:paraId="1475DDDF"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52. </w:t>
      </w:r>
      <w:r w:rsidRPr="00C14DB6">
        <w:rPr>
          <w:rFonts w:ascii="Times New Roman" w:hAnsi="Times New Roman"/>
          <w:color w:val="auto"/>
        </w:rPr>
        <w:tab/>
        <w:t xml:space="preserve">Drevets, W.C.; Savitz, J.; Trimble, M. The Subgenual Anterior Cingulate Cortex in Mood Disorders. </w:t>
      </w:r>
      <w:r w:rsidRPr="00C14DB6">
        <w:rPr>
          <w:rFonts w:ascii="Times New Roman" w:hAnsi="Times New Roman"/>
          <w:i/>
          <w:iCs/>
          <w:color w:val="auto"/>
        </w:rPr>
        <w:t>CNS Spectr</w:t>
      </w:r>
      <w:r w:rsidRPr="00C14DB6">
        <w:rPr>
          <w:rFonts w:ascii="Times New Roman" w:hAnsi="Times New Roman"/>
          <w:color w:val="auto"/>
        </w:rPr>
        <w:t xml:space="preserve"> </w:t>
      </w:r>
      <w:r w:rsidRPr="00C14DB6">
        <w:rPr>
          <w:rFonts w:ascii="Times New Roman" w:hAnsi="Times New Roman"/>
          <w:b/>
          <w:bCs/>
          <w:color w:val="auto"/>
        </w:rPr>
        <w:t>2008</w:t>
      </w:r>
      <w:r w:rsidRPr="00C14DB6">
        <w:rPr>
          <w:rFonts w:ascii="Times New Roman" w:hAnsi="Times New Roman"/>
          <w:color w:val="auto"/>
        </w:rPr>
        <w:t xml:space="preserve">, </w:t>
      </w:r>
      <w:r w:rsidRPr="00C14DB6">
        <w:rPr>
          <w:rFonts w:ascii="Times New Roman" w:hAnsi="Times New Roman"/>
          <w:i/>
          <w:iCs/>
          <w:color w:val="auto"/>
        </w:rPr>
        <w:t>13</w:t>
      </w:r>
      <w:r w:rsidRPr="00C14DB6">
        <w:rPr>
          <w:rFonts w:ascii="Times New Roman" w:hAnsi="Times New Roman"/>
          <w:color w:val="auto"/>
        </w:rPr>
        <w:t>, 663–681, doi:10.1017/s1092852900013754.</w:t>
      </w:r>
    </w:p>
    <w:p w14:paraId="08CD67DE"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53. </w:t>
      </w:r>
      <w:r w:rsidRPr="00C14DB6">
        <w:rPr>
          <w:rFonts w:ascii="Times New Roman" w:hAnsi="Times New Roman"/>
          <w:color w:val="auto"/>
        </w:rPr>
        <w:tab/>
        <w:t xml:space="preserve">Smith, R.; Fadok, R.A.; Purcell, M.; Liu, S.; Stonnington, C.; Spetzler, R.F.; Baxter, L.C. Localizing Sadness Activation within the Subgenual Cingulate in Individuals: A Novel Functional MRI Paradigm for Detecting Individual Differences in the Neural Circuitry Underlying Depression. </w:t>
      </w:r>
      <w:r w:rsidRPr="00C14DB6">
        <w:rPr>
          <w:rFonts w:ascii="Times New Roman" w:hAnsi="Times New Roman"/>
          <w:i/>
          <w:iCs/>
          <w:color w:val="auto"/>
        </w:rPr>
        <w:t>Brain Imaging Behav</w:t>
      </w:r>
      <w:r w:rsidRPr="00C14DB6">
        <w:rPr>
          <w:rFonts w:ascii="Times New Roman" w:hAnsi="Times New Roman"/>
          <w:color w:val="auto"/>
        </w:rPr>
        <w:t xml:space="preserve"> </w:t>
      </w:r>
      <w:r w:rsidRPr="00C14DB6">
        <w:rPr>
          <w:rFonts w:ascii="Times New Roman" w:hAnsi="Times New Roman"/>
          <w:b/>
          <w:bCs/>
          <w:color w:val="auto"/>
        </w:rPr>
        <w:t>2011</w:t>
      </w:r>
      <w:r w:rsidRPr="00C14DB6">
        <w:rPr>
          <w:rFonts w:ascii="Times New Roman" w:hAnsi="Times New Roman"/>
          <w:color w:val="auto"/>
        </w:rPr>
        <w:t xml:space="preserve">, </w:t>
      </w:r>
      <w:r w:rsidRPr="00C14DB6">
        <w:rPr>
          <w:rFonts w:ascii="Times New Roman" w:hAnsi="Times New Roman"/>
          <w:i/>
          <w:iCs/>
          <w:color w:val="auto"/>
        </w:rPr>
        <w:t>5</w:t>
      </w:r>
      <w:r w:rsidRPr="00C14DB6">
        <w:rPr>
          <w:rFonts w:ascii="Times New Roman" w:hAnsi="Times New Roman"/>
          <w:color w:val="auto"/>
        </w:rPr>
        <w:t>, 229–239, doi:10.1007/s11682-011-9127-2.</w:t>
      </w:r>
    </w:p>
    <w:p w14:paraId="4B16576F"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54. </w:t>
      </w:r>
      <w:r w:rsidRPr="00C14DB6">
        <w:rPr>
          <w:rFonts w:ascii="Times New Roman" w:hAnsi="Times New Roman"/>
          <w:color w:val="auto"/>
        </w:rPr>
        <w:tab/>
        <w:t xml:space="preserve">Liotti, M.; Mayberg, H.S.; Brannan, S.K.; McGinnis, S.; Jerabek, P.; Fox, P.T. Differential Limbic--Cortical Correlates of Sadness and Anxiety in Healthy Subjects: Implications for Affective Disorders. </w:t>
      </w:r>
      <w:r w:rsidRPr="00C14DB6">
        <w:rPr>
          <w:rFonts w:ascii="Times New Roman" w:hAnsi="Times New Roman"/>
          <w:i/>
          <w:iCs/>
          <w:color w:val="auto"/>
        </w:rPr>
        <w:t>Biol Psychiatry</w:t>
      </w:r>
      <w:r w:rsidRPr="00C14DB6">
        <w:rPr>
          <w:rFonts w:ascii="Times New Roman" w:hAnsi="Times New Roman"/>
          <w:color w:val="auto"/>
        </w:rPr>
        <w:t xml:space="preserve"> </w:t>
      </w:r>
      <w:r w:rsidRPr="00C14DB6">
        <w:rPr>
          <w:rFonts w:ascii="Times New Roman" w:hAnsi="Times New Roman"/>
          <w:b/>
          <w:bCs/>
          <w:color w:val="auto"/>
        </w:rPr>
        <w:t>2000</w:t>
      </w:r>
      <w:r w:rsidRPr="00C14DB6">
        <w:rPr>
          <w:rFonts w:ascii="Times New Roman" w:hAnsi="Times New Roman"/>
          <w:color w:val="auto"/>
        </w:rPr>
        <w:t xml:space="preserve">, </w:t>
      </w:r>
      <w:r w:rsidRPr="00C14DB6">
        <w:rPr>
          <w:rFonts w:ascii="Times New Roman" w:hAnsi="Times New Roman"/>
          <w:i/>
          <w:iCs/>
          <w:color w:val="auto"/>
        </w:rPr>
        <w:t>48</w:t>
      </w:r>
      <w:r w:rsidRPr="00C14DB6">
        <w:rPr>
          <w:rFonts w:ascii="Times New Roman" w:hAnsi="Times New Roman"/>
          <w:color w:val="auto"/>
        </w:rPr>
        <w:t>, 30–42, doi:10.1016/s0006-3223(00)00874-x.</w:t>
      </w:r>
    </w:p>
    <w:p w14:paraId="33252879"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55. </w:t>
      </w:r>
      <w:r w:rsidRPr="00C14DB6">
        <w:rPr>
          <w:rFonts w:ascii="Times New Roman" w:hAnsi="Times New Roman"/>
          <w:color w:val="auto"/>
        </w:rPr>
        <w:tab/>
        <w:t xml:space="preserve">Coombs, G.; Loggia, M.L.; Greve, D.N.; Holt, D.J. Amygdala Perfusion Is Predicted by Its Functional Connectivity with the Ventromedial Prefrontal Cortex and Negative Affect. </w:t>
      </w:r>
      <w:r w:rsidRPr="00C14DB6">
        <w:rPr>
          <w:rFonts w:ascii="Times New Roman" w:hAnsi="Times New Roman"/>
          <w:i/>
          <w:iCs/>
          <w:color w:val="auto"/>
        </w:rPr>
        <w:t>PLoS ONE</w:t>
      </w:r>
      <w:r w:rsidRPr="00C14DB6">
        <w:rPr>
          <w:rFonts w:ascii="Times New Roman" w:hAnsi="Times New Roman"/>
          <w:color w:val="auto"/>
        </w:rPr>
        <w:t xml:space="preserve"> </w:t>
      </w:r>
      <w:r w:rsidRPr="00C14DB6">
        <w:rPr>
          <w:rFonts w:ascii="Times New Roman" w:hAnsi="Times New Roman"/>
          <w:b/>
          <w:bCs/>
          <w:color w:val="auto"/>
        </w:rPr>
        <w:t>2014</w:t>
      </w:r>
      <w:r w:rsidRPr="00C14DB6">
        <w:rPr>
          <w:rFonts w:ascii="Times New Roman" w:hAnsi="Times New Roman"/>
          <w:color w:val="auto"/>
        </w:rPr>
        <w:t xml:space="preserve">, </w:t>
      </w:r>
      <w:r w:rsidRPr="00C14DB6">
        <w:rPr>
          <w:rFonts w:ascii="Times New Roman" w:hAnsi="Times New Roman"/>
          <w:i/>
          <w:iCs/>
          <w:color w:val="auto"/>
        </w:rPr>
        <w:t>9</w:t>
      </w:r>
      <w:r w:rsidRPr="00C14DB6">
        <w:rPr>
          <w:rFonts w:ascii="Times New Roman" w:hAnsi="Times New Roman"/>
          <w:color w:val="auto"/>
        </w:rPr>
        <w:t>, doi:10.1371/JOURNAL.PONE.0097466.</w:t>
      </w:r>
    </w:p>
    <w:p w14:paraId="338E7A0E"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56. </w:t>
      </w:r>
      <w:r w:rsidRPr="00C14DB6">
        <w:rPr>
          <w:rFonts w:ascii="Times New Roman" w:hAnsi="Times New Roman"/>
          <w:color w:val="auto"/>
        </w:rPr>
        <w:tab/>
        <w:t xml:space="preserve">Hu, W.; Yang, J. Reward Anticipation Buffers Neuroendocrine and Cardiovascular Responses to Acute Psychosocial Stress in Healthy Young Adults. </w:t>
      </w:r>
      <w:r w:rsidRPr="00C14DB6">
        <w:rPr>
          <w:rFonts w:ascii="Times New Roman" w:hAnsi="Times New Roman"/>
          <w:i/>
          <w:iCs/>
          <w:color w:val="auto"/>
        </w:rPr>
        <w:t>Stress</w:t>
      </w:r>
      <w:r w:rsidRPr="00C14DB6">
        <w:rPr>
          <w:rFonts w:ascii="Times New Roman" w:hAnsi="Times New Roman"/>
          <w:color w:val="auto"/>
        </w:rPr>
        <w:t xml:space="preserve"> </w:t>
      </w:r>
      <w:r w:rsidRPr="00C14DB6">
        <w:rPr>
          <w:rFonts w:ascii="Times New Roman" w:hAnsi="Times New Roman"/>
          <w:b/>
          <w:bCs/>
          <w:color w:val="auto"/>
        </w:rPr>
        <w:t>2021</w:t>
      </w:r>
      <w:r w:rsidRPr="00C14DB6">
        <w:rPr>
          <w:rFonts w:ascii="Times New Roman" w:hAnsi="Times New Roman"/>
          <w:color w:val="auto"/>
        </w:rPr>
        <w:t xml:space="preserve">, </w:t>
      </w:r>
      <w:r w:rsidRPr="00C14DB6">
        <w:rPr>
          <w:rFonts w:ascii="Times New Roman" w:hAnsi="Times New Roman"/>
          <w:i/>
          <w:iCs/>
          <w:color w:val="auto"/>
        </w:rPr>
        <w:t>24</w:t>
      </w:r>
      <w:r w:rsidRPr="00C14DB6">
        <w:rPr>
          <w:rFonts w:ascii="Times New Roman" w:hAnsi="Times New Roman"/>
          <w:color w:val="auto"/>
        </w:rPr>
        <w:t>, 805–813, doi:10.1080/10253890.2021.1923690.</w:t>
      </w:r>
    </w:p>
    <w:p w14:paraId="7BED4B97"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57. </w:t>
      </w:r>
      <w:r w:rsidRPr="00C14DB6">
        <w:rPr>
          <w:rFonts w:ascii="Times New Roman" w:hAnsi="Times New Roman"/>
          <w:color w:val="auto"/>
        </w:rPr>
        <w:tab/>
        <w:t xml:space="preserve">Dimitrov-Discher, A.; Wenzel, J.; Kabisch, N.; Hemmerling, J.; Bunz, M.; Schöndorf, J.; Walter, H.; Veer, I.M.; Adli, M. Residential Green Space and Air Pollution Are Associated with Brain Activation in a Social-Stress Paradigm. </w:t>
      </w:r>
      <w:r w:rsidRPr="00C14DB6">
        <w:rPr>
          <w:rFonts w:ascii="Times New Roman" w:hAnsi="Times New Roman"/>
          <w:i/>
          <w:iCs/>
          <w:color w:val="auto"/>
        </w:rPr>
        <w:t>Sci Rep</w:t>
      </w:r>
      <w:r w:rsidRPr="00C14DB6">
        <w:rPr>
          <w:rFonts w:ascii="Times New Roman" w:hAnsi="Times New Roman"/>
          <w:color w:val="auto"/>
        </w:rPr>
        <w:t xml:space="preserve"> </w:t>
      </w:r>
      <w:r w:rsidRPr="00C14DB6">
        <w:rPr>
          <w:rFonts w:ascii="Times New Roman" w:hAnsi="Times New Roman"/>
          <w:b/>
          <w:bCs/>
          <w:color w:val="auto"/>
        </w:rPr>
        <w:t>2022</w:t>
      </w:r>
      <w:r w:rsidRPr="00C14DB6">
        <w:rPr>
          <w:rFonts w:ascii="Times New Roman" w:hAnsi="Times New Roman"/>
          <w:color w:val="auto"/>
        </w:rPr>
        <w:t xml:space="preserve">, </w:t>
      </w:r>
      <w:r w:rsidRPr="00C14DB6">
        <w:rPr>
          <w:rFonts w:ascii="Times New Roman" w:hAnsi="Times New Roman"/>
          <w:i/>
          <w:iCs/>
          <w:color w:val="auto"/>
        </w:rPr>
        <w:t>12</w:t>
      </w:r>
      <w:r w:rsidRPr="00C14DB6">
        <w:rPr>
          <w:rFonts w:ascii="Times New Roman" w:hAnsi="Times New Roman"/>
          <w:color w:val="auto"/>
        </w:rPr>
        <w:t>, 10614, doi:10.1038/s41598-022-14659-z.</w:t>
      </w:r>
    </w:p>
    <w:p w14:paraId="5979DE42"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58. </w:t>
      </w:r>
      <w:r w:rsidRPr="00C14DB6">
        <w:rPr>
          <w:rFonts w:ascii="Times New Roman" w:hAnsi="Times New Roman"/>
          <w:color w:val="auto"/>
        </w:rPr>
        <w:tab/>
        <w:t xml:space="preserve">Noack, H.; Nolte, L.; Nieratschker, V.; Habel, U.; Derntl, B. Imaging Stress: An Overview of Stress Induction Methods in the MR Scanner. </w:t>
      </w:r>
      <w:r w:rsidRPr="00C14DB6">
        <w:rPr>
          <w:rFonts w:ascii="Times New Roman" w:hAnsi="Times New Roman"/>
          <w:i/>
          <w:iCs/>
          <w:color w:val="auto"/>
        </w:rPr>
        <w:t>J Neural Transm (Vienna)</w:t>
      </w:r>
      <w:r w:rsidRPr="00C14DB6">
        <w:rPr>
          <w:rFonts w:ascii="Times New Roman" w:hAnsi="Times New Roman"/>
          <w:color w:val="auto"/>
        </w:rPr>
        <w:t xml:space="preserve"> </w:t>
      </w:r>
      <w:r w:rsidRPr="00C14DB6">
        <w:rPr>
          <w:rFonts w:ascii="Times New Roman" w:hAnsi="Times New Roman"/>
          <w:b/>
          <w:bCs/>
          <w:color w:val="auto"/>
        </w:rPr>
        <w:t>2019</w:t>
      </w:r>
      <w:r w:rsidRPr="00C14DB6">
        <w:rPr>
          <w:rFonts w:ascii="Times New Roman" w:hAnsi="Times New Roman"/>
          <w:color w:val="auto"/>
        </w:rPr>
        <w:t xml:space="preserve">, </w:t>
      </w:r>
      <w:r w:rsidRPr="00C14DB6">
        <w:rPr>
          <w:rFonts w:ascii="Times New Roman" w:hAnsi="Times New Roman"/>
          <w:i/>
          <w:iCs/>
          <w:color w:val="auto"/>
        </w:rPr>
        <w:t>126</w:t>
      </w:r>
      <w:r w:rsidRPr="00C14DB6">
        <w:rPr>
          <w:rFonts w:ascii="Times New Roman" w:hAnsi="Times New Roman"/>
          <w:color w:val="auto"/>
        </w:rPr>
        <w:t>, 1187–1202, doi:10.1007/s00702-018-01965-y.</w:t>
      </w:r>
    </w:p>
    <w:p w14:paraId="3350744D"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59. </w:t>
      </w:r>
      <w:r w:rsidRPr="00C14DB6">
        <w:rPr>
          <w:rFonts w:ascii="Times New Roman" w:hAnsi="Times New Roman"/>
          <w:color w:val="auto"/>
        </w:rPr>
        <w:tab/>
        <w:t xml:space="preserve">Peters, S.; Cleare, A.J.; Papadopoulos, A.; Fu, C.H.Y. Cortisol Responses to Serial MRI Scans in Healthy Adults and in Depression. </w:t>
      </w:r>
      <w:r w:rsidRPr="00C14DB6">
        <w:rPr>
          <w:rFonts w:ascii="Times New Roman" w:hAnsi="Times New Roman"/>
          <w:i/>
          <w:iCs/>
          <w:color w:val="auto"/>
        </w:rPr>
        <w:t>Psychoneuroendocrinology</w:t>
      </w:r>
      <w:r w:rsidRPr="00C14DB6">
        <w:rPr>
          <w:rFonts w:ascii="Times New Roman" w:hAnsi="Times New Roman"/>
          <w:color w:val="auto"/>
        </w:rPr>
        <w:t xml:space="preserve"> </w:t>
      </w:r>
      <w:r w:rsidRPr="00C14DB6">
        <w:rPr>
          <w:rFonts w:ascii="Times New Roman" w:hAnsi="Times New Roman"/>
          <w:b/>
          <w:bCs/>
          <w:color w:val="auto"/>
        </w:rPr>
        <w:t>2011</w:t>
      </w:r>
      <w:r w:rsidRPr="00C14DB6">
        <w:rPr>
          <w:rFonts w:ascii="Times New Roman" w:hAnsi="Times New Roman"/>
          <w:color w:val="auto"/>
        </w:rPr>
        <w:t xml:space="preserve">, </w:t>
      </w:r>
      <w:r w:rsidRPr="00C14DB6">
        <w:rPr>
          <w:rFonts w:ascii="Times New Roman" w:hAnsi="Times New Roman"/>
          <w:i/>
          <w:iCs/>
          <w:color w:val="auto"/>
        </w:rPr>
        <w:t>36</w:t>
      </w:r>
      <w:r w:rsidRPr="00C14DB6">
        <w:rPr>
          <w:rFonts w:ascii="Times New Roman" w:hAnsi="Times New Roman"/>
          <w:color w:val="auto"/>
        </w:rPr>
        <w:t>, 737–741, doi:10.1016/j.psyneuen.2010.10.009.</w:t>
      </w:r>
    </w:p>
    <w:p w14:paraId="308A7E26"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60. </w:t>
      </w:r>
      <w:r w:rsidRPr="00C14DB6">
        <w:rPr>
          <w:rFonts w:ascii="Times New Roman" w:hAnsi="Times New Roman"/>
          <w:color w:val="auto"/>
        </w:rPr>
        <w:tab/>
        <w:t xml:space="preserve">Adam, E.K.; Kumari, M. Assessing Salivary Cortisol in Large-Scale, Epidemiological Research. </w:t>
      </w:r>
      <w:r w:rsidRPr="00C14DB6">
        <w:rPr>
          <w:rFonts w:ascii="Times New Roman" w:hAnsi="Times New Roman"/>
          <w:i/>
          <w:iCs/>
          <w:color w:val="auto"/>
        </w:rPr>
        <w:lastRenderedPageBreak/>
        <w:t>Psychoneuroendocrinology</w:t>
      </w:r>
      <w:r w:rsidRPr="00C14DB6">
        <w:rPr>
          <w:rFonts w:ascii="Times New Roman" w:hAnsi="Times New Roman"/>
          <w:color w:val="auto"/>
        </w:rPr>
        <w:t xml:space="preserve"> </w:t>
      </w:r>
      <w:r w:rsidRPr="00C14DB6">
        <w:rPr>
          <w:rFonts w:ascii="Times New Roman" w:hAnsi="Times New Roman"/>
          <w:b/>
          <w:bCs/>
          <w:color w:val="auto"/>
        </w:rPr>
        <w:t>2009</w:t>
      </w:r>
      <w:r w:rsidRPr="00C14DB6">
        <w:rPr>
          <w:rFonts w:ascii="Times New Roman" w:hAnsi="Times New Roman"/>
          <w:color w:val="auto"/>
        </w:rPr>
        <w:t xml:space="preserve">, </w:t>
      </w:r>
      <w:r w:rsidRPr="00C14DB6">
        <w:rPr>
          <w:rFonts w:ascii="Times New Roman" w:hAnsi="Times New Roman"/>
          <w:i/>
          <w:iCs/>
          <w:color w:val="auto"/>
        </w:rPr>
        <w:t>34</w:t>
      </w:r>
      <w:r w:rsidRPr="00C14DB6">
        <w:rPr>
          <w:rFonts w:ascii="Times New Roman" w:hAnsi="Times New Roman"/>
          <w:color w:val="auto"/>
        </w:rPr>
        <w:t>, 1423–1436, doi:10.1016/j.psyneuen.2009.06.011.</w:t>
      </w:r>
    </w:p>
    <w:p w14:paraId="4C1638EB"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61. </w:t>
      </w:r>
      <w:r w:rsidRPr="00C14DB6">
        <w:rPr>
          <w:rFonts w:ascii="Times New Roman" w:hAnsi="Times New Roman"/>
          <w:color w:val="auto"/>
        </w:rPr>
        <w:tab/>
        <w:t xml:space="preserve">Hidalgo-Lopez, E.; Mueller, K.; Harris, T.A.; Aichhorn, M.; Sacher, J.; Pletzer, B. Human Menstrual Cycle Variation in Subcortical Functional Brain Connectivity: A Multimodal Analysis Approach. </w:t>
      </w:r>
      <w:r w:rsidRPr="00C14DB6">
        <w:rPr>
          <w:rFonts w:ascii="Times New Roman" w:hAnsi="Times New Roman"/>
          <w:i/>
          <w:iCs/>
          <w:color w:val="auto"/>
        </w:rPr>
        <w:t>Brain structure &amp; function</w:t>
      </w:r>
      <w:r w:rsidRPr="00C14DB6">
        <w:rPr>
          <w:rFonts w:ascii="Times New Roman" w:hAnsi="Times New Roman"/>
          <w:color w:val="auto"/>
        </w:rPr>
        <w:t xml:space="preserve"> </w:t>
      </w:r>
      <w:r w:rsidRPr="00C14DB6">
        <w:rPr>
          <w:rFonts w:ascii="Times New Roman" w:hAnsi="Times New Roman"/>
          <w:b/>
          <w:bCs/>
          <w:color w:val="auto"/>
        </w:rPr>
        <w:t>2020</w:t>
      </w:r>
      <w:r w:rsidRPr="00C14DB6">
        <w:rPr>
          <w:rFonts w:ascii="Times New Roman" w:hAnsi="Times New Roman"/>
          <w:color w:val="auto"/>
        </w:rPr>
        <w:t xml:space="preserve">, </w:t>
      </w:r>
      <w:r w:rsidRPr="00C14DB6">
        <w:rPr>
          <w:rFonts w:ascii="Times New Roman" w:hAnsi="Times New Roman"/>
          <w:i/>
          <w:iCs/>
          <w:color w:val="auto"/>
        </w:rPr>
        <w:t>225</w:t>
      </w:r>
      <w:r w:rsidRPr="00C14DB6">
        <w:rPr>
          <w:rFonts w:ascii="Times New Roman" w:hAnsi="Times New Roman"/>
          <w:color w:val="auto"/>
        </w:rPr>
        <w:t>, 591–605, doi:10.1007/S00429-019-02019-Z.</w:t>
      </w:r>
    </w:p>
    <w:p w14:paraId="0B92634B"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62. </w:t>
      </w:r>
      <w:r w:rsidRPr="00C14DB6">
        <w:rPr>
          <w:rFonts w:ascii="Times New Roman" w:hAnsi="Times New Roman"/>
          <w:color w:val="auto"/>
        </w:rPr>
        <w:tab/>
        <w:t xml:space="preserve">Kirschbaum, C.; Kudielka, B.M.; Gaab, J.; Schommer, N.C.; Hellhammer, D.H. Impact of Gender, Menstrual Cycle Phase, and Oral Contraceptives on the Activity of the Hypothalamus-Pituitary-Adrenal Axis. </w:t>
      </w:r>
      <w:r w:rsidRPr="00C14DB6">
        <w:rPr>
          <w:rFonts w:ascii="Times New Roman" w:hAnsi="Times New Roman"/>
          <w:i/>
          <w:iCs/>
          <w:color w:val="auto"/>
        </w:rPr>
        <w:t>Psychosomatic medicine</w:t>
      </w:r>
      <w:r w:rsidRPr="00C14DB6">
        <w:rPr>
          <w:rFonts w:ascii="Times New Roman" w:hAnsi="Times New Roman"/>
          <w:color w:val="auto"/>
        </w:rPr>
        <w:t xml:space="preserve"> </w:t>
      </w:r>
      <w:r w:rsidRPr="00C14DB6">
        <w:rPr>
          <w:rFonts w:ascii="Times New Roman" w:hAnsi="Times New Roman"/>
          <w:b/>
          <w:bCs/>
          <w:color w:val="auto"/>
        </w:rPr>
        <w:t>1999</w:t>
      </w:r>
      <w:r w:rsidRPr="00C14DB6">
        <w:rPr>
          <w:rFonts w:ascii="Times New Roman" w:hAnsi="Times New Roman"/>
          <w:color w:val="auto"/>
        </w:rPr>
        <w:t xml:space="preserve">, </w:t>
      </w:r>
      <w:r w:rsidRPr="00C14DB6">
        <w:rPr>
          <w:rFonts w:ascii="Times New Roman" w:hAnsi="Times New Roman"/>
          <w:i/>
          <w:iCs/>
          <w:color w:val="auto"/>
        </w:rPr>
        <w:t>61</w:t>
      </w:r>
      <w:r w:rsidRPr="00C14DB6">
        <w:rPr>
          <w:rFonts w:ascii="Times New Roman" w:hAnsi="Times New Roman"/>
          <w:color w:val="auto"/>
        </w:rPr>
        <w:t>, 154–162, doi:10.1097/00006842-199903000-00006.</w:t>
      </w:r>
    </w:p>
    <w:p w14:paraId="09F7F882" w14:textId="77777777"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 xml:space="preserve">63. </w:t>
      </w:r>
      <w:r w:rsidRPr="00C14DB6">
        <w:rPr>
          <w:rFonts w:ascii="Times New Roman" w:hAnsi="Times New Roman"/>
          <w:color w:val="auto"/>
        </w:rPr>
        <w:tab/>
        <w:t xml:space="preserve">Zhang, W.; Llera, A.; Hashemi, M.M.; Kaldewaij, R.; Koch, S.B.J.; Beckmann, C.F.; Klumpers, F.; Roelofs, K. Discriminating Stress from Rest Based on Resting-State Connectivity of the Human Brain: A Supervised Machine Learning Study. </w:t>
      </w:r>
      <w:r w:rsidRPr="00C14DB6">
        <w:rPr>
          <w:rFonts w:ascii="Times New Roman" w:hAnsi="Times New Roman"/>
          <w:i/>
          <w:iCs/>
          <w:color w:val="auto"/>
        </w:rPr>
        <w:t>Hum Brain Mapp</w:t>
      </w:r>
      <w:r w:rsidRPr="00C14DB6">
        <w:rPr>
          <w:rFonts w:ascii="Times New Roman" w:hAnsi="Times New Roman"/>
          <w:color w:val="auto"/>
        </w:rPr>
        <w:t xml:space="preserve"> </w:t>
      </w:r>
      <w:r w:rsidRPr="00C14DB6">
        <w:rPr>
          <w:rFonts w:ascii="Times New Roman" w:hAnsi="Times New Roman"/>
          <w:b/>
          <w:bCs/>
          <w:color w:val="auto"/>
        </w:rPr>
        <w:t>2020</w:t>
      </w:r>
      <w:r w:rsidRPr="00C14DB6">
        <w:rPr>
          <w:rFonts w:ascii="Times New Roman" w:hAnsi="Times New Roman"/>
          <w:color w:val="auto"/>
        </w:rPr>
        <w:t xml:space="preserve">, </w:t>
      </w:r>
      <w:r w:rsidRPr="00C14DB6">
        <w:rPr>
          <w:rFonts w:ascii="Times New Roman" w:hAnsi="Times New Roman"/>
          <w:i/>
          <w:iCs/>
          <w:color w:val="auto"/>
        </w:rPr>
        <w:t>41</w:t>
      </w:r>
      <w:r w:rsidRPr="00C14DB6">
        <w:rPr>
          <w:rFonts w:ascii="Times New Roman" w:hAnsi="Times New Roman"/>
          <w:color w:val="auto"/>
        </w:rPr>
        <w:t>, 3089–3099, doi:10.1002/hbm.25000.</w:t>
      </w:r>
    </w:p>
    <w:p w14:paraId="414E77A2" w14:textId="5A0A3FD0" w:rsidR="0056609F" w:rsidRPr="00C14DB6" w:rsidRDefault="0056609F" w:rsidP="00C14DB6">
      <w:pPr>
        <w:widowControl w:val="0"/>
        <w:autoSpaceDE w:val="0"/>
        <w:autoSpaceDN w:val="0"/>
        <w:adjustRightInd w:val="0"/>
        <w:rPr>
          <w:rFonts w:ascii="Times New Roman" w:hAnsi="Times New Roman"/>
          <w:color w:val="auto"/>
        </w:rPr>
      </w:pPr>
      <w:r w:rsidRPr="00C14DB6">
        <w:rPr>
          <w:rFonts w:ascii="Times New Roman" w:hAnsi="Times New Roman"/>
          <w:color w:val="auto"/>
        </w:rPr>
        <w:t>6</w:t>
      </w:r>
      <w:r w:rsidR="001E09DA" w:rsidRPr="00C14DB6">
        <w:rPr>
          <w:rFonts w:ascii="Times New Roman" w:hAnsi="Times New Roman"/>
          <w:color w:val="auto"/>
        </w:rPr>
        <w:t>4</w:t>
      </w:r>
      <w:r w:rsidRPr="00C14DB6">
        <w:rPr>
          <w:rFonts w:ascii="Times New Roman" w:hAnsi="Times New Roman"/>
          <w:color w:val="auto"/>
        </w:rPr>
        <w:t xml:space="preserve">. </w:t>
      </w:r>
      <w:r w:rsidRPr="00C14DB6">
        <w:rPr>
          <w:rFonts w:ascii="Times New Roman" w:hAnsi="Times New Roman"/>
          <w:color w:val="auto"/>
        </w:rPr>
        <w:tab/>
        <w:t xml:space="preserve">Heidari, S.; Babor, T.F.; De Castro, P.; Tort, S.; Curno, M. Sex and Gender Equity in Research: Rationale for the SAGER Guidelines and Recommended Use. </w:t>
      </w:r>
      <w:r w:rsidRPr="00C14DB6">
        <w:rPr>
          <w:rFonts w:ascii="Times New Roman" w:hAnsi="Times New Roman"/>
          <w:i/>
          <w:iCs/>
          <w:color w:val="auto"/>
        </w:rPr>
        <w:t>Res Integr Peer Rev</w:t>
      </w:r>
      <w:r w:rsidRPr="00C14DB6">
        <w:rPr>
          <w:rFonts w:ascii="Times New Roman" w:hAnsi="Times New Roman"/>
          <w:color w:val="auto"/>
        </w:rPr>
        <w:t xml:space="preserve"> </w:t>
      </w:r>
      <w:r w:rsidRPr="00C14DB6">
        <w:rPr>
          <w:rFonts w:ascii="Times New Roman" w:hAnsi="Times New Roman"/>
          <w:b/>
          <w:bCs/>
          <w:color w:val="auto"/>
        </w:rPr>
        <w:t>2016</w:t>
      </w:r>
      <w:r w:rsidRPr="00C14DB6">
        <w:rPr>
          <w:rFonts w:ascii="Times New Roman" w:hAnsi="Times New Roman"/>
          <w:color w:val="auto"/>
        </w:rPr>
        <w:t xml:space="preserve">, </w:t>
      </w:r>
      <w:r w:rsidRPr="00C14DB6">
        <w:rPr>
          <w:rFonts w:ascii="Times New Roman" w:hAnsi="Times New Roman"/>
          <w:i/>
          <w:iCs/>
          <w:color w:val="auto"/>
        </w:rPr>
        <w:t>1</w:t>
      </w:r>
      <w:r w:rsidRPr="00C14DB6">
        <w:rPr>
          <w:rFonts w:ascii="Times New Roman" w:hAnsi="Times New Roman"/>
          <w:color w:val="auto"/>
        </w:rPr>
        <w:t>, 2, doi:10.1186/s41073-016-0007-6.</w:t>
      </w:r>
    </w:p>
    <w:p w14:paraId="44E75A33" w14:textId="59FD0491" w:rsidR="00FE6943" w:rsidRPr="00C14DB6" w:rsidRDefault="00B944B2" w:rsidP="00C14DB6">
      <w:pPr>
        <w:pStyle w:val="MDPI71References"/>
        <w:numPr>
          <w:ilvl w:val="0"/>
          <w:numId w:val="0"/>
        </w:numPr>
        <w:ind w:hanging="425"/>
      </w:pPr>
      <w:r w:rsidRPr="00C14DB6">
        <w:fldChar w:fldCharType="end"/>
      </w:r>
    </w:p>
    <w:p w14:paraId="77D92642" w14:textId="1BA85952" w:rsidR="00A5616E" w:rsidRPr="006D7042" w:rsidRDefault="00A5616E" w:rsidP="00C14DB6">
      <w:pPr>
        <w:pStyle w:val="MDPI63Notes"/>
        <w:rPr>
          <w:cs/>
        </w:rPr>
      </w:pPr>
      <w:r w:rsidRPr="00C14DB6">
        <w:rPr>
          <w:b/>
        </w:rPr>
        <w:t>Disclaimer/Publisher’s Note:</w:t>
      </w:r>
      <w:r w:rsidRPr="00C14DB6">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A5616E" w:rsidRPr="006D7042" w:rsidSect="00D20538">
      <w:headerReference w:type="even" r:id="rId16"/>
      <w:headerReference w:type="default" r:id="rId17"/>
      <w:footerReference w:type="default" r:id="rId18"/>
      <w:headerReference w:type="first" r:id="rId19"/>
      <w:footerReference w:type="first" r:id="rId20"/>
      <w:type w:val="continuous"/>
      <w:pgSz w:w="11906" w:h="16838" w:code="9"/>
      <w:pgMar w:top="1417" w:right="1417" w:bottom="1134" w:left="1417" w:header="1021" w:footer="340" w:gutter="0"/>
      <w:pgNumType w:start="1"/>
      <w:cols w:space="425"/>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FFDA5" w14:textId="77777777" w:rsidR="000B0B3A" w:rsidRDefault="000B0B3A">
      <w:pPr>
        <w:spacing w:line="240" w:lineRule="auto"/>
      </w:pPr>
      <w:r>
        <w:separator/>
      </w:r>
    </w:p>
  </w:endnote>
  <w:endnote w:type="continuationSeparator" w:id="0">
    <w:p w14:paraId="29A090BB" w14:textId="77777777" w:rsidR="000B0B3A" w:rsidRDefault="000B0B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408E" w14:textId="77777777" w:rsidR="00357C8D" w:rsidRPr="00032917" w:rsidRDefault="00357C8D" w:rsidP="00357C8D">
    <w:pPr>
      <w:pStyle w:val="Fuzeil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8DD93" w14:textId="6914B3F6" w:rsidR="00357C8D" w:rsidRPr="008B308E" w:rsidRDefault="00357C8D" w:rsidP="00770821">
    <w:pPr>
      <w:pStyle w:val="MDPIfooterfirstpage"/>
      <w:tabs>
        <w:tab w:val="clear" w:pos="8845"/>
        <w:tab w:val="right" w:pos="10466"/>
      </w:tabs>
      <w:spacing w:line="240" w:lineRule="auto"/>
      <w:jc w:val="both"/>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4D7F1" w14:textId="77777777" w:rsidR="000B0B3A" w:rsidRDefault="000B0B3A">
      <w:pPr>
        <w:spacing w:line="240" w:lineRule="auto"/>
      </w:pPr>
      <w:r>
        <w:separator/>
      </w:r>
    </w:p>
  </w:footnote>
  <w:footnote w:type="continuationSeparator" w:id="0">
    <w:p w14:paraId="26034DDD" w14:textId="77777777" w:rsidR="000B0B3A" w:rsidRDefault="000B0B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BF5A" w14:textId="77777777" w:rsidR="00357C8D" w:rsidRDefault="00357C8D" w:rsidP="00357C8D">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F2FE2" w14:textId="77777777" w:rsidR="00357C8D" w:rsidRPr="007A5CE1" w:rsidRDefault="00357C8D" w:rsidP="00065C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3A2C19" w:rsidRPr="00770821" w14:paraId="50130131" w14:textId="77777777" w:rsidTr="00D235B1">
      <w:trPr>
        <w:trHeight w:val="686"/>
      </w:trPr>
      <w:tc>
        <w:tcPr>
          <w:tcW w:w="3679" w:type="dxa"/>
          <w:shd w:val="clear" w:color="auto" w:fill="auto"/>
          <w:vAlign w:val="center"/>
        </w:tcPr>
        <w:p w14:paraId="6CC1D02B" w14:textId="45A6AE8C" w:rsidR="003A2C19" w:rsidRPr="00904B95" w:rsidRDefault="003A2C19" w:rsidP="00770821">
          <w:pPr>
            <w:pStyle w:val="Kopfzeile"/>
            <w:pBdr>
              <w:bottom w:val="none" w:sz="0" w:space="0" w:color="auto"/>
            </w:pBdr>
            <w:jc w:val="left"/>
            <w:rPr>
              <w:rFonts w:eastAsia="DengXian"/>
              <w:b/>
              <w:bCs/>
            </w:rPr>
          </w:pPr>
        </w:p>
      </w:tc>
      <w:tc>
        <w:tcPr>
          <w:tcW w:w="4535" w:type="dxa"/>
          <w:shd w:val="clear" w:color="auto" w:fill="auto"/>
          <w:vAlign w:val="center"/>
        </w:tcPr>
        <w:p w14:paraId="625BEB45" w14:textId="77777777" w:rsidR="003A2C19" w:rsidRPr="00904B95" w:rsidRDefault="003A2C19" w:rsidP="00770821">
          <w:pPr>
            <w:pStyle w:val="Kopfzeile"/>
            <w:pBdr>
              <w:bottom w:val="none" w:sz="0" w:space="0" w:color="auto"/>
            </w:pBdr>
            <w:rPr>
              <w:rFonts w:eastAsia="DengXian"/>
              <w:b/>
              <w:bCs/>
            </w:rPr>
          </w:pPr>
        </w:p>
      </w:tc>
      <w:tc>
        <w:tcPr>
          <w:tcW w:w="2273" w:type="dxa"/>
          <w:shd w:val="clear" w:color="auto" w:fill="auto"/>
          <w:vAlign w:val="center"/>
        </w:tcPr>
        <w:p w14:paraId="7B5D9466" w14:textId="352DEDEE" w:rsidR="003A2C19" w:rsidRPr="00904B95" w:rsidRDefault="003A2C19" w:rsidP="00D235B1">
          <w:pPr>
            <w:pStyle w:val="Kopfzeile"/>
            <w:pBdr>
              <w:bottom w:val="none" w:sz="0" w:space="0" w:color="auto"/>
            </w:pBdr>
            <w:jc w:val="right"/>
            <w:rPr>
              <w:rFonts w:eastAsia="DengXian"/>
              <w:b/>
              <w:bCs/>
            </w:rPr>
          </w:pPr>
        </w:p>
      </w:tc>
    </w:tr>
  </w:tbl>
  <w:p w14:paraId="0421A3A0" w14:textId="77777777" w:rsidR="00357C8D" w:rsidRPr="003A2C19" w:rsidRDefault="00357C8D" w:rsidP="00065C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66A66"/>
    <w:multiLevelType w:val="hybridMultilevel"/>
    <w:tmpl w:val="CEA4112E"/>
    <w:lvl w:ilvl="0" w:tplc="72162196">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 w15:restartNumberingAfterBreak="0">
    <w:nsid w:val="0B5F6105"/>
    <w:multiLevelType w:val="hybridMultilevel"/>
    <w:tmpl w:val="7A56A1CC"/>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2F6A8630"/>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B68A6E0C"/>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7A135E"/>
    <w:multiLevelType w:val="hybridMultilevel"/>
    <w:tmpl w:val="C554B7C0"/>
    <w:lvl w:ilvl="0" w:tplc="CFE896BA">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93567DB"/>
    <w:multiLevelType w:val="hybridMultilevel"/>
    <w:tmpl w:val="043A95D6"/>
    <w:lvl w:ilvl="0" w:tplc="6706E808">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E0EC50B2"/>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3"/>
  </w:num>
  <w:num w:numId="8">
    <w:abstractNumId w:val="11"/>
  </w:num>
  <w:num w:numId="9">
    <w:abstractNumId w:val="3"/>
  </w:num>
  <w:num w:numId="10">
    <w:abstractNumId w:val="11"/>
  </w:num>
  <w:num w:numId="11">
    <w:abstractNumId w:val="3"/>
  </w:num>
  <w:num w:numId="12">
    <w:abstractNumId w:val="12"/>
  </w:num>
  <w:num w:numId="13">
    <w:abstractNumId w:val="11"/>
  </w:num>
  <w:num w:numId="14">
    <w:abstractNumId w:val="3"/>
  </w:num>
  <w:num w:numId="15">
    <w:abstractNumId w:val="2"/>
  </w:num>
  <w:num w:numId="16">
    <w:abstractNumId w:val="10"/>
  </w:num>
  <w:num w:numId="17">
    <w:abstractNumId w:val="0"/>
  </w:num>
  <w:num w:numId="18">
    <w:abstractNumId w:val="11"/>
  </w:num>
  <w:num w:numId="19">
    <w:abstractNumId w:val="3"/>
  </w:num>
  <w:num w:numId="20">
    <w:abstractNumId w:val="2"/>
  </w:num>
  <w:num w:numId="21">
    <w:abstractNumId w:val="7"/>
  </w:num>
  <w:num w:numId="22">
    <w:abstractNumId w:val="0"/>
  </w:num>
  <w:num w:numId="23">
    <w:abstractNumId w:val="9"/>
  </w:num>
  <w:num w:numId="24">
    <w:abstractNumId w:val="11"/>
  </w:num>
  <w:num w:numId="25">
    <w:abstractNumId w:val="3"/>
  </w:num>
  <w:num w:numId="26">
    <w:abstractNumId w:val="1"/>
  </w:num>
  <w:num w:numId="27">
    <w:abstractNumId w:val="2"/>
  </w:num>
  <w:num w:numId="28">
    <w:abstractNumId w:val="1"/>
  </w:num>
  <w:num w:numId="29">
    <w:abstractNumId w:val="11"/>
  </w:num>
  <w:num w:numId="30">
    <w:abstractNumId w:val="3"/>
  </w:num>
  <w:num w:numId="31">
    <w:abstractNumId w:val="1"/>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W0MLQ0NjIyNDG3MDVT0lEKTi0uzszPAykwqQUAW4+cNywAAAA="/>
  </w:docVars>
  <w:rsids>
    <w:rsidRoot w:val="00B944B2"/>
    <w:rsid w:val="000019D8"/>
    <w:rsid w:val="00006F9A"/>
    <w:rsid w:val="0001560B"/>
    <w:rsid w:val="00027AC3"/>
    <w:rsid w:val="000302D9"/>
    <w:rsid w:val="00035700"/>
    <w:rsid w:val="00041D95"/>
    <w:rsid w:val="00065CFE"/>
    <w:rsid w:val="00067359"/>
    <w:rsid w:val="00067411"/>
    <w:rsid w:val="00085770"/>
    <w:rsid w:val="000A0E40"/>
    <w:rsid w:val="000A7316"/>
    <w:rsid w:val="000B0B3A"/>
    <w:rsid w:val="000B7CBD"/>
    <w:rsid w:val="000C0FC2"/>
    <w:rsid w:val="000C6424"/>
    <w:rsid w:val="000E2866"/>
    <w:rsid w:val="000F3E0C"/>
    <w:rsid w:val="001030B6"/>
    <w:rsid w:val="00123D92"/>
    <w:rsid w:val="00142ECF"/>
    <w:rsid w:val="00152F6D"/>
    <w:rsid w:val="0016564A"/>
    <w:rsid w:val="00170FB7"/>
    <w:rsid w:val="001710B7"/>
    <w:rsid w:val="0017183A"/>
    <w:rsid w:val="00172385"/>
    <w:rsid w:val="00177AA9"/>
    <w:rsid w:val="00180583"/>
    <w:rsid w:val="0018129B"/>
    <w:rsid w:val="001B7137"/>
    <w:rsid w:val="001C4EF2"/>
    <w:rsid w:val="001D1C27"/>
    <w:rsid w:val="001D25D3"/>
    <w:rsid w:val="001E09DA"/>
    <w:rsid w:val="001E2AEB"/>
    <w:rsid w:val="001E6B6B"/>
    <w:rsid w:val="001F462D"/>
    <w:rsid w:val="0026167D"/>
    <w:rsid w:val="00274D95"/>
    <w:rsid w:val="0027767F"/>
    <w:rsid w:val="00280F25"/>
    <w:rsid w:val="00280FC4"/>
    <w:rsid w:val="00287BE6"/>
    <w:rsid w:val="0029303F"/>
    <w:rsid w:val="002B2E14"/>
    <w:rsid w:val="002B5FEA"/>
    <w:rsid w:val="002C1762"/>
    <w:rsid w:val="002C4B09"/>
    <w:rsid w:val="002C5B08"/>
    <w:rsid w:val="002C74FC"/>
    <w:rsid w:val="002E235C"/>
    <w:rsid w:val="002F698E"/>
    <w:rsid w:val="002F7A78"/>
    <w:rsid w:val="00314B6E"/>
    <w:rsid w:val="003207B3"/>
    <w:rsid w:val="00325CF8"/>
    <w:rsid w:val="00326141"/>
    <w:rsid w:val="0034278A"/>
    <w:rsid w:val="0034365E"/>
    <w:rsid w:val="0034687A"/>
    <w:rsid w:val="00357C8D"/>
    <w:rsid w:val="00362F34"/>
    <w:rsid w:val="00375195"/>
    <w:rsid w:val="003977A3"/>
    <w:rsid w:val="003A2C19"/>
    <w:rsid w:val="003A5A2C"/>
    <w:rsid w:val="003B1235"/>
    <w:rsid w:val="003C78E7"/>
    <w:rsid w:val="003D37C7"/>
    <w:rsid w:val="003D4857"/>
    <w:rsid w:val="003D55AB"/>
    <w:rsid w:val="003E2FD7"/>
    <w:rsid w:val="003F2DA1"/>
    <w:rsid w:val="003F4ECB"/>
    <w:rsid w:val="003F61F4"/>
    <w:rsid w:val="0040182E"/>
    <w:rsid w:val="00401D30"/>
    <w:rsid w:val="00412261"/>
    <w:rsid w:val="004142C7"/>
    <w:rsid w:val="004225B0"/>
    <w:rsid w:val="0045182C"/>
    <w:rsid w:val="00455B1A"/>
    <w:rsid w:val="0046295C"/>
    <w:rsid w:val="004B1358"/>
    <w:rsid w:val="004B7429"/>
    <w:rsid w:val="004C6B09"/>
    <w:rsid w:val="004D54CC"/>
    <w:rsid w:val="004D5F4D"/>
    <w:rsid w:val="004F1291"/>
    <w:rsid w:val="004F2376"/>
    <w:rsid w:val="004F33C9"/>
    <w:rsid w:val="004F5B4C"/>
    <w:rsid w:val="005123DF"/>
    <w:rsid w:val="00535C97"/>
    <w:rsid w:val="00547A54"/>
    <w:rsid w:val="005577F2"/>
    <w:rsid w:val="00561669"/>
    <w:rsid w:val="0056609F"/>
    <w:rsid w:val="00574ED1"/>
    <w:rsid w:val="0059031B"/>
    <w:rsid w:val="005963C5"/>
    <w:rsid w:val="005A06CB"/>
    <w:rsid w:val="005B53AB"/>
    <w:rsid w:val="00610A30"/>
    <w:rsid w:val="00616F82"/>
    <w:rsid w:val="00622838"/>
    <w:rsid w:val="006300CB"/>
    <w:rsid w:val="00637CD2"/>
    <w:rsid w:val="006453ED"/>
    <w:rsid w:val="00650A81"/>
    <w:rsid w:val="006532ED"/>
    <w:rsid w:val="0066338E"/>
    <w:rsid w:val="00664C48"/>
    <w:rsid w:val="00667913"/>
    <w:rsid w:val="006823CA"/>
    <w:rsid w:val="00682C1F"/>
    <w:rsid w:val="00685F96"/>
    <w:rsid w:val="00691DEB"/>
    <w:rsid w:val="00692393"/>
    <w:rsid w:val="00694025"/>
    <w:rsid w:val="00696655"/>
    <w:rsid w:val="006A11B0"/>
    <w:rsid w:val="006A5D76"/>
    <w:rsid w:val="006C3990"/>
    <w:rsid w:val="006D3297"/>
    <w:rsid w:val="006D7042"/>
    <w:rsid w:val="006E1776"/>
    <w:rsid w:val="006F6C19"/>
    <w:rsid w:val="007018DC"/>
    <w:rsid w:val="00705D61"/>
    <w:rsid w:val="00706D77"/>
    <w:rsid w:val="00714B91"/>
    <w:rsid w:val="007606F3"/>
    <w:rsid w:val="00770821"/>
    <w:rsid w:val="00783241"/>
    <w:rsid w:val="0079312A"/>
    <w:rsid w:val="007D2FFA"/>
    <w:rsid w:val="007F0A90"/>
    <w:rsid w:val="008022F9"/>
    <w:rsid w:val="00816BBE"/>
    <w:rsid w:val="00821EF1"/>
    <w:rsid w:val="008337EC"/>
    <w:rsid w:val="00851192"/>
    <w:rsid w:val="00853B85"/>
    <w:rsid w:val="00865A31"/>
    <w:rsid w:val="008676DA"/>
    <w:rsid w:val="00893C15"/>
    <w:rsid w:val="008A5531"/>
    <w:rsid w:val="008A6C9C"/>
    <w:rsid w:val="008D0B41"/>
    <w:rsid w:val="008E63F1"/>
    <w:rsid w:val="008F1228"/>
    <w:rsid w:val="008F3CDC"/>
    <w:rsid w:val="008F6E8C"/>
    <w:rsid w:val="009035B8"/>
    <w:rsid w:val="00904B95"/>
    <w:rsid w:val="00914275"/>
    <w:rsid w:val="00915CAE"/>
    <w:rsid w:val="00916097"/>
    <w:rsid w:val="00936D19"/>
    <w:rsid w:val="00943EE6"/>
    <w:rsid w:val="00945A8C"/>
    <w:rsid w:val="00965F1F"/>
    <w:rsid w:val="00970559"/>
    <w:rsid w:val="00970888"/>
    <w:rsid w:val="009709FF"/>
    <w:rsid w:val="00995F53"/>
    <w:rsid w:val="00996419"/>
    <w:rsid w:val="009C5893"/>
    <w:rsid w:val="009D3806"/>
    <w:rsid w:val="009F70E6"/>
    <w:rsid w:val="009F79C9"/>
    <w:rsid w:val="00A5616E"/>
    <w:rsid w:val="00A637A9"/>
    <w:rsid w:val="00A73B50"/>
    <w:rsid w:val="00AA1433"/>
    <w:rsid w:val="00AB2F7D"/>
    <w:rsid w:val="00AB5FCC"/>
    <w:rsid w:val="00AC3FDF"/>
    <w:rsid w:val="00AD3640"/>
    <w:rsid w:val="00AD4E9B"/>
    <w:rsid w:val="00AE0F2C"/>
    <w:rsid w:val="00AF63F6"/>
    <w:rsid w:val="00AF66CF"/>
    <w:rsid w:val="00B24D42"/>
    <w:rsid w:val="00B27BDC"/>
    <w:rsid w:val="00B334DF"/>
    <w:rsid w:val="00B71BC2"/>
    <w:rsid w:val="00B84BC1"/>
    <w:rsid w:val="00B866BA"/>
    <w:rsid w:val="00B908D2"/>
    <w:rsid w:val="00B944B2"/>
    <w:rsid w:val="00BA066D"/>
    <w:rsid w:val="00BB2253"/>
    <w:rsid w:val="00BB7AA1"/>
    <w:rsid w:val="00BC0BE5"/>
    <w:rsid w:val="00BC2D10"/>
    <w:rsid w:val="00BD5379"/>
    <w:rsid w:val="00BE2765"/>
    <w:rsid w:val="00BE4E1F"/>
    <w:rsid w:val="00BF5B5D"/>
    <w:rsid w:val="00BF5D96"/>
    <w:rsid w:val="00BF6F8B"/>
    <w:rsid w:val="00C06920"/>
    <w:rsid w:val="00C078B3"/>
    <w:rsid w:val="00C1439D"/>
    <w:rsid w:val="00C144B6"/>
    <w:rsid w:val="00C14DB6"/>
    <w:rsid w:val="00C17D2C"/>
    <w:rsid w:val="00C22060"/>
    <w:rsid w:val="00C22BC7"/>
    <w:rsid w:val="00C33999"/>
    <w:rsid w:val="00C76749"/>
    <w:rsid w:val="00CA6FBF"/>
    <w:rsid w:val="00CB3CFA"/>
    <w:rsid w:val="00CB5986"/>
    <w:rsid w:val="00CC4494"/>
    <w:rsid w:val="00D03F63"/>
    <w:rsid w:val="00D0452F"/>
    <w:rsid w:val="00D06DB4"/>
    <w:rsid w:val="00D15FBD"/>
    <w:rsid w:val="00D20538"/>
    <w:rsid w:val="00D235B1"/>
    <w:rsid w:val="00D27976"/>
    <w:rsid w:val="00D537C4"/>
    <w:rsid w:val="00D5441A"/>
    <w:rsid w:val="00D72E82"/>
    <w:rsid w:val="00D76EFE"/>
    <w:rsid w:val="00DB5D84"/>
    <w:rsid w:val="00DB65CB"/>
    <w:rsid w:val="00DC5308"/>
    <w:rsid w:val="00DC6316"/>
    <w:rsid w:val="00DF2A4D"/>
    <w:rsid w:val="00E548E8"/>
    <w:rsid w:val="00E571F9"/>
    <w:rsid w:val="00E62446"/>
    <w:rsid w:val="00E6298A"/>
    <w:rsid w:val="00E67832"/>
    <w:rsid w:val="00E917EF"/>
    <w:rsid w:val="00E9417E"/>
    <w:rsid w:val="00EA792D"/>
    <w:rsid w:val="00EB730D"/>
    <w:rsid w:val="00EC2CB7"/>
    <w:rsid w:val="00EE3D95"/>
    <w:rsid w:val="00F00EAD"/>
    <w:rsid w:val="00F1352D"/>
    <w:rsid w:val="00F159D6"/>
    <w:rsid w:val="00F20DC0"/>
    <w:rsid w:val="00F23853"/>
    <w:rsid w:val="00F41D77"/>
    <w:rsid w:val="00F61547"/>
    <w:rsid w:val="00F733DC"/>
    <w:rsid w:val="00F96721"/>
    <w:rsid w:val="00FA2DB6"/>
    <w:rsid w:val="00FA4695"/>
    <w:rsid w:val="00FC70BF"/>
    <w:rsid w:val="00FD275A"/>
    <w:rsid w:val="00FD4789"/>
    <w:rsid w:val="00FD6CA7"/>
    <w:rsid w:val="00FD76C7"/>
    <w:rsid w:val="00FE6943"/>
    <w:rsid w:val="00FF1581"/>
    <w:rsid w:val="00FF69C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85268A"/>
  <w15:chartTrackingRefBased/>
  <w15:docId w15:val="{DDF3F020-FE61-4F67-9719-486AA6F56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E6943"/>
    <w:pPr>
      <w:spacing w:line="260" w:lineRule="atLeast"/>
      <w:jc w:val="both"/>
    </w:pPr>
    <w:rPr>
      <w:rFonts w:ascii="Palatino Linotype" w:hAnsi="Palatino Linotype"/>
      <w:color w:val="000000"/>
      <w:lang w:eastAsia="zh-CN" w:bidi="ar-SA"/>
    </w:rPr>
  </w:style>
  <w:style w:type="paragraph" w:styleId="berschrift3">
    <w:name w:val="heading 3"/>
    <w:basedOn w:val="Standard"/>
    <w:next w:val="Standard"/>
    <w:link w:val="berschrift3Zchn"/>
    <w:uiPriority w:val="9"/>
    <w:semiHidden/>
    <w:unhideWhenUsed/>
    <w:qFormat/>
    <w:rsid w:val="00B944B2"/>
    <w:pPr>
      <w:keepNext/>
      <w:keepLines/>
      <w:spacing w:before="40"/>
      <w:outlineLvl w:val="2"/>
    </w:pPr>
    <w:rPr>
      <w:rFonts w:ascii="Calibri Light" w:eastAsia="DengXian Light" w:hAnsi="Calibri Light"/>
      <w:color w:val="1F3763"/>
      <w:sz w:val="24"/>
      <w:szCs w:val="24"/>
    </w:rPr>
  </w:style>
  <w:style w:type="paragraph" w:styleId="berschrift4">
    <w:name w:val="heading 4"/>
    <w:basedOn w:val="Standard"/>
    <w:next w:val="Standard"/>
    <w:link w:val="berschrift4Zchn"/>
    <w:uiPriority w:val="9"/>
    <w:semiHidden/>
    <w:unhideWhenUsed/>
    <w:qFormat/>
    <w:rsid w:val="00B944B2"/>
    <w:pPr>
      <w:keepNext/>
      <w:keepLines/>
      <w:spacing w:before="40"/>
      <w:outlineLvl w:val="3"/>
    </w:pPr>
    <w:rPr>
      <w:rFonts w:ascii="Calibri Light" w:eastAsia="DengXian Light" w:hAnsi="Calibri Light"/>
      <w:i/>
      <w:iCs/>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DPI11articletype">
    <w:name w:val="MDPI_1.1_article_type"/>
    <w:next w:val="Standard"/>
    <w:qFormat/>
    <w:rsid w:val="00C33999"/>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rd"/>
    <w:qFormat/>
    <w:rsid w:val="00C33999"/>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rd"/>
    <w:qFormat/>
    <w:rsid w:val="00C33999"/>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rd"/>
    <w:next w:val="Standard"/>
    <w:qFormat/>
    <w:rsid w:val="00C33999"/>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C33999"/>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rd"/>
    <w:qFormat/>
    <w:rsid w:val="00C33999"/>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rd"/>
    <w:qFormat/>
    <w:rsid w:val="00C33999"/>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C33999"/>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uzeile">
    <w:name w:val="footer"/>
    <w:basedOn w:val="Standard"/>
    <w:link w:val="FuzeileZchn"/>
    <w:uiPriority w:val="99"/>
    <w:rsid w:val="00FE6943"/>
    <w:pPr>
      <w:tabs>
        <w:tab w:val="center" w:pos="4153"/>
        <w:tab w:val="right" w:pos="8306"/>
      </w:tabs>
      <w:snapToGrid w:val="0"/>
      <w:spacing w:line="240" w:lineRule="atLeast"/>
    </w:pPr>
    <w:rPr>
      <w:szCs w:val="18"/>
    </w:rPr>
  </w:style>
  <w:style w:type="character" w:customStyle="1" w:styleId="FuzeileZchn">
    <w:name w:val="Fußzeile Zchn"/>
    <w:link w:val="Fuzeile"/>
    <w:uiPriority w:val="99"/>
    <w:rsid w:val="00FE6943"/>
    <w:rPr>
      <w:rFonts w:ascii="Palatino Linotype" w:hAnsi="Palatino Linotype"/>
      <w:noProof/>
      <w:color w:val="000000"/>
      <w:szCs w:val="18"/>
    </w:rPr>
  </w:style>
  <w:style w:type="paragraph" w:styleId="Kopfzeile">
    <w:name w:val="header"/>
    <w:basedOn w:val="Standard"/>
    <w:link w:val="KopfzeileZchn"/>
    <w:uiPriority w:val="99"/>
    <w:rsid w:val="00FE6943"/>
    <w:pPr>
      <w:pBdr>
        <w:bottom w:val="single" w:sz="6" w:space="1" w:color="auto"/>
      </w:pBdr>
      <w:tabs>
        <w:tab w:val="center" w:pos="4153"/>
        <w:tab w:val="right" w:pos="8306"/>
      </w:tabs>
      <w:snapToGrid w:val="0"/>
      <w:spacing w:line="240" w:lineRule="atLeast"/>
      <w:jc w:val="center"/>
    </w:pPr>
    <w:rPr>
      <w:szCs w:val="18"/>
    </w:rPr>
  </w:style>
  <w:style w:type="character" w:customStyle="1" w:styleId="KopfzeileZchn">
    <w:name w:val="Kopfzeile Zchn"/>
    <w:link w:val="Kopfzeile"/>
    <w:uiPriority w:val="99"/>
    <w:rsid w:val="00FE6943"/>
    <w:rPr>
      <w:rFonts w:ascii="Palatino Linotype" w:hAnsi="Palatino Linotype"/>
      <w:noProof/>
      <w:color w:val="000000"/>
      <w:szCs w:val="18"/>
    </w:rPr>
  </w:style>
  <w:style w:type="paragraph" w:customStyle="1" w:styleId="MDPIheaderjournallogo">
    <w:name w:val="MDPI_header_journal_logo"/>
    <w:qFormat/>
    <w:rsid w:val="00C33999"/>
    <w:pPr>
      <w:adjustRightInd w:val="0"/>
      <w:snapToGrid w:val="0"/>
      <w:spacing w:line="260" w:lineRule="atLeast"/>
      <w:jc w:val="both"/>
    </w:pPr>
    <w:rPr>
      <w:rFonts w:ascii="Palatino Linotype" w:eastAsia="Times New Roman" w:hAnsi="Palatino Linotype"/>
      <w:i/>
      <w:color w:val="000000"/>
      <w:sz w:val="24"/>
      <w:szCs w:val="22"/>
      <w:lang w:eastAsia="de-CH" w:bidi="ar-SA"/>
    </w:rPr>
  </w:style>
  <w:style w:type="paragraph" w:customStyle="1" w:styleId="MDPI32textnoindent">
    <w:name w:val="MDPI_3.2_text_no_indent"/>
    <w:basedOn w:val="MDPI31text"/>
    <w:qFormat/>
    <w:rsid w:val="00C33999"/>
    <w:pPr>
      <w:ind w:firstLine="0"/>
    </w:pPr>
  </w:style>
  <w:style w:type="paragraph" w:customStyle="1" w:styleId="MDPI31text">
    <w:name w:val="MDPI_3.1_text"/>
    <w:link w:val="MDPI31textZchn"/>
    <w:qFormat/>
    <w:rsid w:val="00C3399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C33999"/>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C33999"/>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C3399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C33999"/>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C33999"/>
    <w:pPr>
      <w:numPr>
        <w:numId w:val="29"/>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C33999"/>
    <w:pPr>
      <w:numPr>
        <w:numId w:val="3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C33999"/>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C33999"/>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C33999"/>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C33999"/>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C33999"/>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C33999"/>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C33999"/>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C33999"/>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C33999"/>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C33999"/>
    <w:pPr>
      <w:tabs>
        <w:tab w:val="right" w:pos="8845"/>
      </w:tabs>
      <w:spacing w:line="160" w:lineRule="exact"/>
    </w:pPr>
    <w:rPr>
      <w:rFonts w:ascii="Palatino Linotype" w:eastAsia="Times New Roman" w:hAnsi="Palatino Linotype"/>
      <w:color w:val="000000"/>
      <w:sz w:val="16"/>
      <w:lang w:eastAsia="de-DE" w:bidi="ar-SA"/>
    </w:rPr>
  </w:style>
  <w:style w:type="paragraph" w:customStyle="1" w:styleId="MDPI23heading3">
    <w:name w:val="MDPI_2.3_heading3"/>
    <w:qFormat/>
    <w:rsid w:val="00C33999"/>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C33999"/>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C33999"/>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link w:val="MDPI71ReferencesZchn"/>
    <w:qFormat/>
    <w:rsid w:val="00C33999"/>
    <w:pPr>
      <w:numPr>
        <w:numId w:val="32"/>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Sprechblasentext">
    <w:name w:val="Balloon Text"/>
    <w:basedOn w:val="Standard"/>
    <w:link w:val="SprechblasentextZchn"/>
    <w:uiPriority w:val="99"/>
    <w:rsid w:val="00FE6943"/>
    <w:rPr>
      <w:rFonts w:cs="Tahoma"/>
      <w:szCs w:val="18"/>
    </w:rPr>
  </w:style>
  <w:style w:type="character" w:customStyle="1" w:styleId="SprechblasentextZchn">
    <w:name w:val="Sprechblasentext Zchn"/>
    <w:link w:val="Sprechblasentext"/>
    <w:uiPriority w:val="99"/>
    <w:rsid w:val="00FE6943"/>
    <w:rPr>
      <w:rFonts w:ascii="Palatino Linotype" w:hAnsi="Palatino Linotype" w:cs="Tahoma"/>
      <w:noProof/>
      <w:color w:val="000000"/>
      <w:szCs w:val="18"/>
    </w:rPr>
  </w:style>
  <w:style w:type="character" w:styleId="Zeilennummer">
    <w:name w:val="line number"/>
    <w:uiPriority w:val="99"/>
    <w:rsid w:val="00C33999"/>
    <w:rPr>
      <w:rFonts w:ascii="Palatino Linotype" w:hAnsi="Palatino Linotype"/>
      <w:sz w:val="16"/>
    </w:rPr>
  </w:style>
  <w:style w:type="table" w:customStyle="1" w:styleId="MDPI41threelinetable">
    <w:name w:val="MDPI_4.1_three_line_table"/>
    <w:basedOn w:val="NormaleTabelle"/>
    <w:uiPriority w:val="99"/>
    <w:rsid w:val="00C33999"/>
    <w:pPr>
      <w:adjustRightInd w:val="0"/>
      <w:snapToGrid w:val="0"/>
      <w:jc w:val="center"/>
    </w:pPr>
    <w:rPr>
      <w:rFonts w:ascii="Palatino Linotype" w:eastAsiaTheme="minorEastAsia" w:hAnsi="Palatino Linotype"/>
      <w:color w:val="000000"/>
      <w:lang w:eastAsia="zh-CN" w:bidi="ar-SA"/>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FE6943"/>
    <w:rPr>
      <w:color w:val="0000FF"/>
      <w:u w:val="single"/>
    </w:rPr>
  </w:style>
  <w:style w:type="character" w:styleId="NichtaufgelsteErwhnung">
    <w:name w:val="Unresolved Mention"/>
    <w:uiPriority w:val="99"/>
    <w:semiHidden/>
    <w:unhideWhenUsed/>
    <w:rsid w:val="0034278A"/>
    <w:rPr>
      <w:color w:val="605E5C"/>
      <w:shd w:val="clear" w:color="auto" w:fill="E1DFDD"/>
    </w:rPr>
  </w:style>
  <w:style w:type="table" w:styleId="Tabellenraster">
    <w:name w:val="Table Grid"/>
    <w:basedOn w:val="NormaleTabelle"/>
    <w:uiPriority w:val="59"/>
    <w:rsid w:val="00FE6943"/>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4">
    <w:name w:val="Plain Table 4"/>
    <w:basedOn w:val="NormaleTabelle"/>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C33999"/>
    <w:pPr>
      <w:adjustRightInd w:val="0"/>
      <w:snapToGrid w:val="0"/>
      <w:spacing w:line="240" w:lineRule="atLeast"/>
      <w:ind w:right="113"/>
    </w:pPr>
    <w:rPr>
      <w:rFonts w:ascii="Palatino Linotype" w:hAnsi="Palatino Linotype" w:cs="Cordia New"/>
      <w:sz w:val="14"/>
      <w:szCs w:val="22"/>
      <w:lang w:eastAsia="zh-CN" w:bidi="ar-SA"/>
    </w:rPr>
  </w:style>
  <w:style w:type="paragraph" w:customStyle="1" w:styleId="MDPI62BackMatter">
    <w:name w:val="MDPI_6.2_BackMatter"/>
    <w:qFormat/>
    <w:rsid w:val="00C33999"/>
    <w:pPr>
      <w:adjustRightInd w:val="0"/>
      <w:snapToGrid w:val="0"/>
      <w:spacing w:after="120" w:line="228" w:lineRule="auto"/>
      <w:ind w:left="2608"/>
      <w:jc w:val="both"/>
    </w:pPr>
    <w:rPr>
      <w:rFonts w:ascii="Palatino Linotype" w:eastAsia="Times New Roman" w:hAnsi="Palatino Linotype"/>
      <w:snapToGrid w:val="0"/>
      <w:color w:val="000000"/>
      <w:sz w:val="18"/>
      <w:lang w:bidi="en-US"/>
    </w:rPr>
  </w:style>
  <w:style w:type="paragraph" w:customStyle="1" w:styleId="MDPI63Notes">
    <w:name w:val="MDPI_6.3_Notes"/>
    <w:qFormat/>
    <w:rsid w:val="00C33999"/>
    <w:pPr>
      <w:adjustRightInd w:val="0"/>
      <w:snapToGrid w:val="0"/>
      <w:spacing w:before="240" w:line="228" w:lineRule="auto"/>
      <w:jc w:val="both"/>
    </w:pPr>
    <w:rPr>
      <w:rFonts w:ascii="Palatino Linotype" w:hAnsi="Palatino Linotype"/>
      <w:snapToGrid w:val="0"/>
      <w:color w:val="000000"/>
      <w:sz w:val="18"/>
      <w:lang w:bidi="en-US"/>
    </w:rPr>
  </w:style>
  <w:style w:type="paragraph" w:customStyle="1" w:styleId="MDPI15academiceditor">
    <w:name w:val="MDPI_1.5_academic_editor"/>
    <w:qFormat/>
    <w:rsid w:val="00C3399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C33999"/>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C33999"/>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eastAsia="zh-CN" w:bidi="en-US"/>
    </w:rPr>
  </w:style>
  <w:style w:type="paragraph" w:customStyle="1" w:styleId="MDPI511onefigurecaption">
    <w:name w:val="MDPI_5.1.1_one_figure_caption"/>
    <w:qFormat/>
    <w:rsid w:val="00C33999"/>
    <w:pPr>
      <w:adjustRightInd w:val="0"/>
      <w:snapToGrid w:val="0"/>
      <w:spacing w:before="240" w:after="120" w:line="260" w:lineRule="atLeast"/>
      <w:jc w:val="center"/>
    </w:pPr>
    <w:rPr>
      <w:rFonts w:ascii="Palatino Linotype" w:eastAsiaTheme="minorEastAsia" w:hAnsi="Palatino Linotype"/>
      <w:noProof/>
      <w:color w:val="000000"/>
      <w:sz w:val="18"/>
      <w:lang w:eastAsia="zh-CN" w:bidi="en-US"/>
    </w:rPr>
  </w:style>
  <w:style w:type="paragraph" w:customStyle="1" w:styleId="MDPI72Copyright">
    <w:name w:val="MDPI_7.2_Copyright"/>
    <w:qFormat/>
    <w:rsid w:val="00C33999"/>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bidi="ar-SA"/>
    </w:rPr>
  </w:style>
  <w:style w:type="paragraph" w:customStyle="1" w:styleId="MDPI73CopyrightImage">
    <w:name w:val="MDPI_7.3_CopyrightImage"/>
    <w:rsid w:val="00C33999"/>
    <w:pPr>
      <w:adjustRightInd w:val="0"/>
      <w:snapToGrid w:val="0"/>
      <w:spacing w:after="100" w:line="260" w:lineRule="atLeast"/>
      <w:jc w:val="right"/>
    </w:pPr>
    <w:rPr>
      <w:rFonts w:ascii="Palatino Linotype" w:eastAsia="Times New Roman" w:hAnsi="Palatino Linotype"/>
      <w:color w:val="000000"/>
      <w:lang w:eastAsia="de-CH" w:bidi="ar-SA"/>
    </w:rPr>
  </w:style>
  <w:style w:type="paragraph" w:customStyle="1" w:styleId="MDPIequationFram">
    <w:name w:val="MDPI_equationFram"/>
    <w:qFormat/>
    <w:rsid w:val="00C33999"/>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C33999"/>
    <w:pPr>
      <w:adjustRightInd w:val="0"/>
      <w:snapToGrid w:val="0"/>
      <w:spacing w:before="120" w:line="260" w:lineRule="atLeast"/>
      <w:jc w:val="center"/>
    </w:pPr>
    <w:rPr>
      <w:rFonts w:ascii="Palatino Linotype" w:eastAsia="Times New Roman" w:hAnsi="Palatino Linotype"/>
      <w:color w:val="000000"/>
      <w:lang w:eastAsia="de-DE" w:bidi="ar-SA"/>
    </w:rPr>
  </w:style>
  <w:style w:type="paragraph" w:customStyle="1" w:styleId="MDPIheader">
    <w:name w:val="MDPI_header"/>
    <w:qFormat/>
    <w:rsid w:val="00C33999"/>
    <w:pPr>
      <w:adjustRightInd w:val="0"/>
      <w:snapToGrid w:val="0"/>
      <w:spacing w:after="240" w:line="260" w:lineRule="atLeast"/>
      <w:jc w:val="both"/>
    </w:pPr>
    <w:rPr>
      <w:rFonts w:ascii="Palatino Linotype" w:eastAsia="Times New Roman" w:hAnsi="Palatino Linotype"/>
      <w:iCs/>
      <w:color w:val="000000"/>
      <w:sz w:val="16"/>
      <w:lang w:eastAsia="de-DE" w:bidi="ar-SA"/>
    </w:rPr>
  </w:style>
  <w:style w:type="paragraph" w:customStyle="1" w:styleId="MDPIheadercitation">
    <w:name w:val="MDPI_header_citation"/>
    <w:rsid w:val="00C33999"/>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C33999"/>
    <w:pPr>
      <w:adjustRightInd w:val="0"/>
      <w:snapToGrid w:val="0"/>
      <w:spacing w:line="260" w:lineRule="atLeast"/>
      <w:jc w:val="right"/>
    </w:pPr>
    <w:rPr>
      <w:rFonts w:ascii="Palatino Linotype" w:eastAsia="Times New Roman" w:hAnsi="Palatino Linotype"/>
      <w:color w:val="000000"/>
      <w:sz w:val="24"/>
      <w:szCs w:val="22"/>
      <w:lang w:eastAsia="de-CH" w:bidi="ar-SA"/>
    </w:rPr>
  </w:style>
  <w:style w:type="table" w:customStyle="1" w:styleId="MDPITable">
    <w:name w:val="MDPI_Table"/>
    <w:basedOn w:val="NormaleTabelle"/>
    <w:uiPriority w:val="99"/>
    <w:rsid w:val="00C33999"/>
    <w:rPr>
      <w:rFonts w:ascii="Palatino Linotype" w:hAnsi="Palatino Linotype"/>
      <w:color w:val="000000" w:themeColor="text1"/>
      <w:lang w:val="en-CA" w:bidi="ar-SA"/>
    </w:rPr>
    <w:tblPr>
      <w:tblCellMar>
        <w:left w:w="0" w:type="dxa"/>
        <w:right w:w="0" w:type="dxa"/>
      </w:tblCellMar>
    </w:tblPr>
  </w:style>
  <w:style w:type="paragraph" w:customStyle="1" w:styleId="MDPItext">
    <w:name w:val="MDPI_text"/>
    <w:qFormat/>
    <w:rsid w:val="00C33999"/>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C33999"/>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E6943"/>
  </w:style>
  <w:style w:type="paragraph" w:styleId="Literaturverzeichnis">
    <w:name w:val="Bibliography"/>
    <w:basedOn w:val="Standard"/>
    <w:next w:val="Standard"/>
    <w:uiPriority w:val="37"/>
    <w:semiHidden/>
    <w:unhideWhenUsed/>
    <w:rsid w:val="00FE6943"/>
  </w:style>
  <w:style w:type="paragraph" w:styleId="Textkrper">
    <w:name w:val="Body Text"/>
    <w:link w:val="TextkrperZchn"/>
    <w:rsid w:val="00FE6943"/>
    <w:pPr>
      <w:spacing w:after="120" w:line="340" w:lineRule="atLeast"/>
      <w:jc w:val="both"/>
    </w:pPr>
    <w:rPr>
      <w:rFonts w:ascii="Palatino Linotype" w:hAnsi="Palatino Linotype"/>
      <w:color w:val="000000"/>
      <w:sz w:val="24"/>
      <w:lang w:eastAsia="de-DE" w:bidi="ar-SA"/>
    </w:rPr>
  </w:style>
  <w:style w:type="character" w:customStyle="1" w:styleId="TextkrperZchn">
    <w:name w:val="Textkörper Zchn"/>
    <w:link w:val="Textkrper"/>
    <w:rsid w:val="00FE6943"/>
    <w:rPr>
      <w:rFonts w:ascii="Palatino Linotype" w:hAnsi="Palatino Linotype"/>
      <w:color w:val="000000"/>
      <w:sz w:val="24"/>
      <w:lang w:eastAsia="de-DE"/>
    </w:rPr>
  </w:style>
  <w:style w:type="character" w:styleId="Kommentarzeichen">
    <w:name w:val="annotation reference"/>
    <w:rsid w:val="00FE6943"/>
    <w:rPr>
      <w:sz w:val="21"/>
      <w:szCs w:val="21"/>
    </w:rPr>
  </w:style>
  <w:style w:type="paragraph" w:styleId="Kommentartext">
    <w:name w:val="annotation text"/>
    <w:basedOn w:val="Standard"/>
    <w:link w:val="KommentartextZchn"/>
    <w:rsid w:val="00FE6943"/>
  </w:style>
  <w:style w:type="character" w:customStyle="1" w:styleId="KommentartextZchn">
    <w:name w:val="Kommentartext Zchn"/>
    <w:link w:val="Kommentartext"/>
    <w:rsid w:val="00FE6943"/>
    <w:rPr>
      <w:rFonts w:ascii="Palatino Linotype" w:hAnsi="Palatino Linotype"/>
      <w:noProof/>
      <w:color w:val="000000"/>
    </w:rPr>
  </w:style>
  <w:style w:type="paragraph" w:styleId="Kommentarthema">
    <w:name w:val="annotation subject"/>
    <w:basedOn w:val="Kommentartext"/>
    <w:next w:val="Kommentartext"/>
    <w:link w:val="KommentarthemaZchn"/>
    <w:rsid w:val="00FE6943"/>
    <w:rPr>
      <w:b/>
      <w:bCs/>
    </w:rPr>
  </w:style>
  <w:style w:type="character" w:customStyle="1" w:styleId="KommentarthemaZchn">
    <w:name w:val="Kommentarthema Zchn"/>
    <w:link w:val="Kommentarthema"/>
    <w:rsid w:val="00FE6943"/>
    <w:rPr>
      <w:rFonts w:ascii="Palatino Linotype" w:hAnsi="Palatino Linotype"/>
      <w:b/>
      <w:bCs/>
      <w:noProof/>
      <w:color w:val="000000"/>
    </w:rPr>
  </w:style>
  <w:style w:type="character" w:styleId="Endnotenzeichen">
    <w:name w:val="endnote reference"/>
    <w:rsid w:val="00FE6943"/>
    <w:rPr>
      <w:vertAlign w:val="superscript"/>
    </w:rPr>
  </w:style>
  <w:style w:type="paragraph" w:styleId="Endnotentext">
    <w:name w:val="endnote text"/>
    <w:basedOn w:val="Standard"/>
    <w:link w:val="EndnotentextZchn"/>
    <w:semiHidden/>
    <w:unhideWhenUsed/>
    <w:rsid w:val="00FE6943"/>
    <w:pPr>
      <w:spacing w:line="240" w:lineRule="auto"/>
    </w:pPr>
  </w:style>
  <w:style w:type="character" w:customStyle="1" w:styleId="EndnotentextZchn">
    <w:name w:val="Endnotentext Zchn"/>
    <w:link w:val="Endnotentext"/>
    <w:semiHidden/>
    <w:rsid w:val="00FE6943"/>
    <w:rPr>
      <w:rFonts w:ascii="Palatino Linotype" w:hAnsi="Palatino Linotype"/>
      <w:noProof/>
      <w:color w:val="000000"/>
    </w:rPr>
  </w:style>
  <w:style w:type="character" w:styleId="BesuchterLink">
    <w:name w:val="FollowedHyperlink"/>
    <w:rsid w:val="00FE6943"/>
    <w:rPr>
      <w:color w:val="954F72"/>
      <w:u w:val="single"/>
    </w:rPr>
  </w:style>
  <w:style w:type="paragraph" w:styleId="Funotentext">
    <w:name w:val="footnote text"/>
    <w:basedOn w:val="Standard"/>
    <w:link w:val="FunotentextZchn"/>
    <w:semiHidden/>
    <w:unhideWhenUsed/>
    <w:rsid w:val="00FE6943"/>
    <w:pPr>
      <w:spacing w:line="240" w:lineRule="auto"/>
    </w:pPr>
  </w:style>
  <w:style w:type="character" w:customStyle="1" w:styleId="FunotentextZchn">
    <w:name w:val="Fußnotentext Zchn"/>
    <w:link w:val="Funotentext"/>
    <w:semiHidden/>
    <w:rsid w:val="00FE6943"/>
    <w:rPr>
      <w:rFonts w:ascii="Palatino Linotype" w:hAnsi="Palatino Linotype"/>
      <w:noProof/>
      <w:color w:val="000000"/>
    </w:rPr>
  </w:style>
  <w:style w:type="paragraph" w:styleId="StandardWeb">
    <w:name w:val="Normal (Web)"/>
    <w:basedOn w:val="Standard"/>
    <w:uiPriority w:val="99"/>
    <w:rsid w:val="00FE6943"/>
    <w:rPr>
      <w:szCs w:val="24"/>
    </w:rPr>
  </w:style>
  <w:style w:type="paragraph" w:customStyle="1" w:styleId="MsoFootnoteText0">
    <w:name w:val="MsoFootnoteText"/>
    <w:basedOn w:val="StandardWeb"/>
    <w:qFormat/>
    <w:rsid w:val="00FE6943"/>
    <w:rPr>
      <w:rFonts w:ascii="Times New Roman" w:hAnsi="Times New Roman"/>
    </w:rPr>
  </w:style>
  <w:style w:type="character" w:styleId="Seitenzahl">
    <w:name w:val="page number"/>
    <w:rsid w:val="00FE6943"/>
  </w:style>
  <w:style w:type="character" w:styleId="Platzhaltertext">
    <w:name w:val="Placeholder Text"/>
    <w:uiPriority w:val="99"/>
    <w:semiHidden/>
    <w:rsid w:val="00FE6943"/>
    <w:rPr>
      <w:color w:val="808080"/>
    </w:rPr>
  </w:style>
  <w:style w:type="paragraph" w:customStyle="1" w:styleId="MDPI71FootNotes">
    <w:name w:val="MDPI_7.1_FootNotes"/>
    <w:qFormat/>
    <w:rsid w:val="00C33999"/>
    <w:pPr>
      <w:numPr>
        <w:numId w:val="31"/>
      </w:numPr>
      <w:adjustRightInd w:val="0"/>
      <w:snapToGrid w:val="0"/>
      <w:spacing w:line="228" w:lineRule="auto"/>
    </w:pPr>
    <w:rPr>
      <w:rFonts w:ascii="Palatino Linotype" w:eastAsiaTheme="minorEastAsia" w:hAnsi="Palatino Linotype"/>
      <w:noProof/>
      <w:color w:val="000000"/>
      <w:sz w:val="18"/>
      <w:lang w:eastAsia="zh-CN" w:bidi="ar-SA"/>
    </w:rPr>
  </w:style>
  <w:style w:type="character" w:customStyle="1" w:styleId="berschrift3Zchn">
    <w:name w:val="Überschrift 3 Zchn"/>
    <w:basedOn w:val="Absatz-Standardschriftart"/>
    <w:link w:val="berschrift3"/>
    <w:uiPriority w:val="9"/>
    <w:semiHidden/>
    <w:rsid w:val="00B944B2"/>
    <w:rPr>
      <w:rFonts w:ascii="Calibri Light" w:eastAsia="DengXian Light" w:hAnsi="Calibri Light"/>
      <w:color w:val="1F3763"/>
      <w:sz w:val="24"/>
      <w:szCs w:val="24"/>
      <w:lang w:eastAsia="zh-CN" w:bidi="ar-SA"/>
    </w:rPr>
  </w:style>
  <w:style w:type="character" w:customStyle="1" w:styleId="berschrift4Zchn">
    <w:name w:val="Überschrift 4 Zchn"/>
    <w:basedOn w:val="Absatz-Standardschriftart"/>
    <w:link w:val="berschrift4"/>
    <w:uiPriority w:val="9"/>
    <w:semiHidden/>
    <w:rsid w:val="00B944B2"/>
    <w:rPr>
      <w:rFonts w:ascii="Calibri Light" w:eastAsia="DengXian Light" w:hAnsi="Calibri Light"/>
      <w:i/>
      <w:iCs/>
      <w:color w:val="2F5496"/>
      <w:lang w:eastAsia="zh-CN" w:bidi="ar-SA"/>
    </w:rPr>
  </w:style>
  <w:style w:type="paragraph" w:customStyle="1" w:styleId="Literaturverzeichnis1">
    <w:name w:val="Literaturverzeichnis1"/>
    <w:basedOn w:val="Standard"/>
    <w:link w:val="BibliographyZchn"/>
    <w:rsid w:val="00B944B2"/>
    <w:pPr>
      <w:tabs>
        <w:tab w:val="left" w:pos="500"/>
      </w:tabs>
      <w:spacing w:line="240" w:lineRule="atLeast"/>
      <w:ind w:left="504" w:hanging="504"/>
    </w:pPr>
    <w:rPr>
      <w:rFonts w:eastAsia="Times New Roman"/>
      <w:sz w:val="18"/>
      <w:lang w:eastAsia="de-DE" w:bidi="en-US"/>
    </w:rPr>
  </w:style>
  <w:style w:type="character" w:customStyle="1" w:styleId="MDPI71ReferencesZchn">
    <w:name w:val="MDPI_7.1_References Zchn"/>
    <w:link w:val="MDPI71References"/>
    <w:rsid w:val="00B944B2"/>
    <w:rPr>
      <w:rFonts w:ascii="Palatino Linotype" w:eastAsia="Times New Roman" w:hAnsi="Palatino Linotype"/>
      <w:color w:val="000000"/>
      <w:sz w:val="18"/>
      <w:lang w:eastAsia="de-DE" w:bidi="en-US"/>
    </w:rPr>
  </w:style>
  <w:style w:type="character" w:customStyle="1" w:styleId="BibliographyZchn">
    <w:name w:val="Bibliography Zchn"/>
    <w:link w:val="Literaturverzeichnis1"/>
    <w:rsid w:val="00B944B2"/>
    <w:rPr>
      <w:rFonts w:ascii="Palatino Linotype" w:eastAsia="Times New Roman" w:hAnsi="Palatino Linotype"/>
      <w:color w:val="000000"/>
      <w:sz w:val="18"/>
      <w:lang w:eastAsia="de-DE" w:bidi="en-US"/>
    </w:rPr>
  </w:style>
  <w:style w:type="table" w:customStyle="1" w:styleId="EinfacheTabelle41">
    <w:name w:val="Einfache Tabelle 41"/>
    <w:basedOn w:val="NormaleTabelle"/>
    <w:uiPriority w:val="44"/>
    <w:rsid w:val="00B944B2"/>
    <w:rPr>
      <w:rFonts w:eastAsia="Calibri" w:cs="Arial"/>
      <w:sz w:val="22"/>
      <w:szCs w:val="22"/>
      <w:lang w:val="de-DE"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ichtaufgelsteErwhnung1">
    <w:name w:val="Nicht aufgelöste Erwähnung1"/>
    <w:uiPriority w:val="99"/>
    <w:semiHidden/>
    <w:unhideWhenUsed/>
    <w:rsid w:val="00B944B2"/>
    <w:rPr>
      <w:color w:val="605E5C"/>
      <w:shd w:val="clear" w:color="auto" w:fill="E1DFDD"/>
    </w:rPr>
  </w:style>
  <w:style w:type="paragraph" w:styleId="berarbeitung">
    <w:name w:val="Revision"/>
    <w:hidden/>
    <w:uiPriority w:val="99"/>
    <w:semiHidden/>
    <w:rsid w:val="00B944B2"/>
    <w:rPr>
      <w:rFonts w:ascii="Palatino Linotype" w:hAnsi="Palatino Linotype"/>
      <w:color w:val="000000"/>
      <w:lang w:eastAsia="zh-CN" w:bidi="ar-SA"/>
    </w:rPr>
  </w:style>
  <w:style w:type="paragraph" w:customStyle="1" w:styleId="Literaturverzeichnis2">
    <w:name w:val="Literaturverzeichnis2"/>
    <w:basedOn w:val="Standard"/>
    <w:link w:val="BibliographyZchn1"/>
    <w:rsid w:val="000A0E40"/>
    <w:pPr>
      <w:tabs>
        <w:tab w:val="left" w:pos="500"/>
      </w:tabs>
      <w:spacing w:line="240" w:lineRule="atLeast"/>
      <w:ind w:left="504" w:hanging="504"/>
    </w:pPr>
    <w:rPr>
      <w:rFonts w:eastAsia="Times New Roman"/>
      <w:szCs w:val="22"/>
    </w:rPr>
  </w:style>
  <w:style w:type="character" w:customStyle="1" w:styleId="MDPI31textZchn">
    <w:name w:val="MDPI_3.1_text Zchn"/>
    <w:basedOn w:val="Absatz-Standardschriftart"/>
    <w:link w:val="MDPI31text"/>
    <w:rsid w:val="000A0E40"/>
    <w:rPr>
      <w:rFonts w:ascii="Palatino Linotype" w:eastAsia="Times New Roman" w:hAnsi="Palatino Linotype"/>
      <w:snapToGrid w:val="0"/>
      <w:color w:val="000000"/>
      <w:szCs w:val="22"/>
      <w:lang w:eastAsia="de-DE" w:bidi="en-US"/>
    </w:rPr>
  </w:style>
  <w:style w:type="character" w:customStyle="1" w:styleId="BibliographyZchn1">
    <w:name w:val="Bibliography Zchn1"/>
    <w:basedOn w:val="MDPI31textZchn"/>
    <w:link w:val="Literaturverzeichnis2"/>
    <w:rsid w:val="000A0E40"/>
    <w:rPr>
      <w:rFonts w:ascii="Palatino Linotype" w:eastAsia="Times New Roman" w:hAnsi="Palatino Linotype"/>
      <w:snapToGrid/>
      <w:color w:val="000000"/>
      <w:szCs w:val="22"/>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x.doi.org/10.2139/ssrn.4134211"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srn.com/abstract=4134211"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jcm-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74160-8337-7849-9EBB-FF8CD14E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C:\Users\MDPI\Desktop\Word templates\jcm-template.dot</Template>
  <TotalTime>0</TotalTime>
  <Pages>19</Pages>
  <Words>45740</Words>
  <Characters>288167</Characters>
  <Application>Microsoft Office Word</Application>
  <DocSecurity>0</DocSecurity>
  <Lines>2401</Lines>
  <Paragraphs>666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Article_x000d_Stressor-specific sex differences in amygdala-frontal cortex networks_x000d_Zoé Bürger 1</vt:lpstr>
      <vt:lpstr>Article_x000d_Stressor-specific sex differences in amygdala-frontal cortex networks_x000d_Zoé Bürger 1</vt:lpstr>
    </vt:vector>
  </TitlesOfParts>
  <Company/>
  <LinksUpToDate>false</LinksUpToDate>
  <CharactersWithSpaces>333241</CharactersWithSpaces>
  <SharedDoc>false</SharedDoc>
  <HLinks>
    <vt:vector size="6" baseType="variant">
      <vt:variant>
        <vt:i4>3997750</vt:i4>
      </vt:variant>
      <vt:variant>
        <vt:i4>0</vt:i4>
      </vt:variant>
      <vt:variant>
        <vt:i4>0</vt:i4>
      </vt:variant>
      <vt:variant>
        <vt:i4>5</vt:i4>
      </vt:variant>
      <vt:variant>
        <vt:lpwstr>https://img.mdpi.org/data/contributor-role-instruction.pdf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Article_x000d_Stressor-specific sex differences in amygdala-frontal cortex networks_x000d_Zoé Bürger 1</dc:title>
  <dc:subject/>
  <dc:creator>MDPI</dc:creator>
  <cp:keywords/>
  <dc:description/>
  <cp:lastModifiedBy>Microsoft Office User</cp:lastModifiedBy>
  <cp:revision>2</cp:revision>
  <cp:lastPrinted>2022-12-20T05:49:00Z</cp:lastPrinted>
  <dcterms:created xsi:type="dcterms:W3CDTF">2023-01-31T13:03:00Z</dcterms:created>
  <dcterms:modified xsi:type="dcterms:W3CDTF">2023-01-31T13:03:00Z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zotero-version="6.0.19"&gt;&lt;session id="9beZZaEy"/&gt;&lt;style id="http://www.zotero.org/styles/journal-of-clinical-medicine" hasBibliography="1" bibliographyStyleHasBeenSet="1"/&gt;&lt;prefs&gt;&lt;pref name="fieldType" value="Field"/&gt;&lt;/prefs&gt;&lt;/data&gt;</vt:lpwstr>
  </property>
</Properties>
</file>